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39" w:rsidRDefault="00055939" w:rsidP="00055939">
      <w:pPr>
        <w:overflowPunct w:val="0"/>
        <w:autoSpaceDE w:val="0"/>
        <w:autoSpaceDN w:val="0"/>
        <w:adjustRightInd w:val="0"/>
        <w:jc w:val="center"/>
        <w:rPr>
          <w:b/>
          <w:sz w:val="22"/>
          <w:szCs w:val="22"/>
        </w:rPr>
      </w:pPr>
      <w:r>
        <w:rPr>
          <w:b/>
          <w:sz w:val="22"/>
          <w:szCs w:val="22"/>
        </w:rPr>
        <w:t>ОТЧЕТ ОБ ИТОГАХ ГОЛОСОВАНИЯ</w:t>
      </w:r>
    </w:p>
    <w:p w:rsidR="00055939" w:rsidRDefault="00055939" w:rsidP="00055939">
      <w:pPr>
        <w:overflowPunct w:val="0"/>
        <w:autoSpaceDE w:val="0"/>
        <w:autoSpaceDN w:val="0"/>
        <w:adjustRightInd w:val="0"/>
        <w:jc w:val="center"/>
        <w:rPr>
          <w:b/>
          <w:sz w:val="22"/>
          <w:szCs w:val="22"/>
        </w:rPr>
      </w:pPr>
      <w:r>
        <w:rPr>
          <w:b/>
          <w:sz w:val="22"/>
          <w:szCs w:val="22"/>
        </w:rPr>
        <w:t xml:space="preserve">НА ВНЕОЧЕРЕДНОМ ОБЩЕМ СОБРАНИИ АКЦИОНЕРОВ  </w:t>
      </w:r>
    </w:p>
    <w:p w:rsidR="00055939" w:rsidRDefault="00055939" w:rsidP="00055939">
      <w:pPr>
        <w:pStyle w:val="a4"/>
        <w:rPr>
          <w:b/>
          <w:sz w:val="22"/>
          <w:szCs w:val="22"/>
        </w:rPr>
      </w:pPr>
      <w:r>
        <w:rPr>
          <w:b/>
          <w:sz w:val="22"/>
          <w:szCs w:val="22"/>
        </w:rPr>
        <w:t>АКЦИОНЕРНОГО ОБЩЕСТВА «СИБНЕФТЕМАШ»</w:t>
      </w:r>
    </w:p>
    <w:p w:rsidR="00055939" w:rsidRDefault="00055939" w:rsidP="00055939">
      <w:pPr>
        <w:pStyle w:val="a4"/>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Акционерное общество «</w:t>
            </w:r>
            <w:proofErr w:type="spellStart"/>
            <w:r>
              <w:t>Сибнефтемаш</w:t>
            </w:r>
            <w:proofErr w:type="spellEnd"/>
            <w:r>
              <w:t xml:space="preserve">» </w:t>
            </w:r>
          </w:p>
          <w:p w:rsidR="00055939" w:rsidRDefault="00055939">
            <w:pPr>
              <w:jc w:val="both"/>
            </w:pPr>
            <w:r>
              <w:t>(далее АО «</w:t>
            </w:r>
            <w:proofErr w:type="spellStart"/>
            <w:r>
              <w:t>Сибнефтемаш</w:t>
            </w:r>
            <w:proofErr w:type="spellEnd"/>
            <w:r>
              <w:t xml:space="preserve">» или «Общество») </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 xml:space="preserve">Место нахождения </w:t>
            </w:r>
          </w:p>
          <w:p w:rsidR="00055939" w:rsidRDefault="00055939">
            <w: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625511, РФ, Тюменская область, Тюменский район, 15 километр Тобольского тракта</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внеочередное</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46229F">
            <w:pPr>
              <w:jc w:val="both"/>
              <w:rPr>
                <w:b/>
              </w:rPr>
            </w:pPr>
            <w:r>
              <w:rPr>
                <w:b/>
              </w:rPr>
              <w:t>«27» февраля</w:t>
            </w:r>
            <w:r w:rsidR="00D377A6">
              <w:rPr>
                <w:b/>
              </w:rPr>
              <w:t xml:space="preserve"> 2018</w:t>
            </w:r>
            <w:r w:rsidR="00055939">
              <w:rPr>
                <w:b/>
              </w:rPr>
              <w:t xml:space="preserve"> года</w:t>
            </w:r>
          </w:p>
        </w:tc>
      </w:tr>
      <w:tr w:rsidR="00055939" w:rsidTr="00582FEE">
        <w:trPr>
          <w:trHeight w:val="424"/>
        </w:trPr>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625511, РФ, Тюменская область, Тюменский район, 15 километр Тобольского тракта</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055939" w:rsidRDefault="00055939">
            <w:pPr>
              <w:jc w:val="both"/>
            </w:pPr>
          </w:p>
          <w:p w:rsidR="00055939" w:rsidRDefault="00055939">
            <w:pPr>
              <w:jc w:val="both"/>
            </w:pPr>
          </w:p>
          <w:p w:rsidR="00055939" w:rsidRDefault="0046229F">
            <w:pPr>
              <w:jc w:val="both"/>
            </w:pPr>
            <w:r>
              <w:t>«06» февраля</w:t>
            </w:r>
            <w:r w:rsidR="00D377A6">
              <w:t xml:space="preserve"> 2018</w:t>
            </w:r>
            <w:r w:rsidR="00055939">
              <w:t xml:space="preserve"> года</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46229F">
            <w:pPr>
              <w:jc w:val="both"/>
              <w:rPr>
                <w:b/>
              </w:rPr>
            </w:pPr>
            <w:r>
              <w:rPr>
                <w:b/>
              </w:rPr>
              <w:t>«27» февраля</w:t>
            </w:r>
            <w:r w:rsidR="00D377A6">
              <w:rPr>
                <w:b/>
              </w:rPr>
              <w:t xml:space="preserve"> 2018</w:t>
            </w:r>
            <w:r w:rsidR="00055939">
              <w:rPr>
                <w:b/>
              </w:rPr>
              <w:t xml:space="preserve"> года, 12 ч. 00 мин. </w:t>
            </w:r>
          </w:p>
        </w:tc>
      </w:tr>
    </w:tbl>
    <w:p w:rsidR="00055939" w:rsidRDefault="00055939" w:rsidP="00055939">
      <w:pPr>
        <w:ind w:firstLine="720"/>
        <w:jc w:val="both"/>
        <w:rPr>
          <w:sz w:val="22"/>
          <w:szCs w:val="22"/>
        </w:rPr>
      </w:pPr>
    </w:p>
    <w:p w:rsidR="00055939" w:rsidRDefault="00055939" w:rsidP="00055939">
      <w:pPr>
        <w:jc w:val="both"/>
        <w:rPr>
          <w:bCs/>
        </w:rPr>
      </w:pPr>
      <w:r>
        <w:rPr>
          <w:b/>
          <w:bCs/>
        </w:rPr>
        <w:t>Председатель собрания</w:t>
      </w:r>
      <w:r>
        <w:rPr>
          <w:bCs/>
        </w:rPr>
        <w:t>: Новиков Андрей Евгеньевич.</w:t>
      </w:r>
    </w:p>
    <w:p w:rsidR="00055939" w:rsidRDefault="00055939" w:rsidP="00055939">
      <w:pPr>
        <w:jc w:val="both"/>
        <w:rPr>
          <w:bCs/>
        </w:rPr>
      </w:pPr>
      <w:r>
        <w:rPr>
          <w:b/>
          <w:bCs/>
        </w:rPr>
        <w:t>Секретарь собрания</w:t>
      </w:r>
      <w:r>
        <w:rPr>
          <w:bCs/>
        </w:rPr>
        <w:t>: Воронина Юлия Александровна.</w:t>
      </w:r>
    </w:p>
    <w:p w:rsidR="00055939" w:rsidRDefault="00055939" w:rsidP="00055939">
      <w:pPr>
        <w:tabs>
          <w:tab w:val="left" w:pos="3261"/>
          <w:tab w:val="left" w:pos="10704"/>
        </w:tabs>
        <w:spacing w:before="120"/>
        <w:jc w:val="both"/>
      </w:pPr>
      <w:r>
        <w:rPr>
          <w:b/>
          <w:sz w:val="22"/>
          <w:szCs w:val="22"/>
        </w:rPr>
        <w:t>Счетная комиссия:</w:t>
      </w:r>
      <w:r>
        <w:rPr>
          <w:sz w:val="22"/>
          <w:szCs w:val="22"/>
        </w:rPr>
        <w:t xml:space="preserve"> Специализированный регистратор </w:t>
      </w:r>
      <w:r>
        <w:t>Акционерное общество «Новый регистратор» (Тюменский филиал).</w:t>
      </w:r>
    </w:p>
    <w:p w:rsidR="00055939" w:rsidRDefault="00055939" w:rsidP="00055939">
      <w:pPr>
        <w:tabs>
          <w:tab w:val="left" w:pos="3261"/>
          <w:tab w:val="left" w:pos="10704"/>
        </w:tabs>
        <w:spacing w:before="120"/>
        <w:jc w:val="both"/>
        <w:rPr>
          <w:sz w:val="22"/>
          <w:szCs w:val="22"/>
        </w:rPr>
      </w:pPr>
      <w:r>
        <w:rPr>
          <w:b/>
          <w:sz w:val="22"/>
          <w:szCs w:val="22"/>
        </w:rPr>
        <w:t>Место нахождения регистратора:</w:t>
      </w:r>
      <w:r>
        <w:rPr>
          <w:rFonts w:ascii="Arial" w:hAnsi="Arial" w:cs="Arial"/>
          <w:color w:val="000000"/>
          <w:sz w:val="21"/>
          <w:szCs w:val="21"/>
          <w:shd w:val="clear" w:color="auto" w:fill="FFFFFF"/>
        </w:rPr>
        <w:t xml:space="preserve"> </w:t>
      </w:r>
      <w:r>
        <w:t xml:space="preserve">107996, РФ, г. Москва, ул. </w:t>
      </w:r>
      <w:proofErr w:type="spellStart"/>
      <w:r>
        <w:t>Буженинова</w:t>
      </w:r>
      <w:proofErr w:type="spellEnd"/>
      <w:r>
        <w:t>, д. 30, стр. 1</w:t>
      </w:r>
      <w:r>
        <w:rPr>
          <w:sz w:val="22"/>
          <w:szCs w:val="22"/>
        </w:rPr>
        <w:t xml:space="preserve"> (</w:t>
      </w:r>
      <w:r>
        <w:t>место нахождение Тюменского филиала: 625019, РФ, Тюменская область, г. Тюмень, ул. Республики, д. 211 А).</w:t>
      </w:r>
    </w:p>
    <w:p w:rsidR="00055939" w:rsidRDefault="00055939" w:rsidP="00055939">
      <w:pPr>
        <w:tabs>
          <w:tab w:val="left" w:pos="3261"/>
          <w:tab w:val="left" w:pos="10704"/>
        </w:tabs>
        <w:spacing w:before="60"/>
        <w:jc w:val="both"/>
        <w:rPr>
          <w:sz w:val="22"/>
          <w:szCs w:val="22"/>
        </w:rPr>
      </w:pPr>
      <w:r>
        <w:rPr>
          <w:b/>
          <w:sz w:val="22"/>
          <w:szCs w:val="22"/>
        </w:rPr>
        <w:t>Уполномоченное лицо регистратора:</w:t>
      </w:r>
      <w:r>
        <w:rPr>
          <w:sz w:val="22"/>
          <w:szCs w:val="22"/>
        </w:rPr>
        <w:t xml:space="preserve"> Токмянина</w:t>
      </w:r>
      <w:r w:rsidR="00815B37">
        <w:rPr>
          <w:sz w:val="22"/>
          <w:szCs w:val="22"/>
        </w:rPr>
        <w:t xml:space="preserve"> Вера Львовна (доверенность №261 от 29.12.2017</w:t>
      </w:r>
      <w:r>
        <w:rPr>
          <w:sz w:val="22"/>
          <w:szCs w:val="22"/>
        </w:rPr>
        <w:t xml:space="preserve"> г. сроком действия до </w:t>
      </w:r>
      <w:r w:rsidR="00815B37">
        <w:rPr>
          <w:sz w:val="22"/>
          <w:szCs w:val="22"/>
        </w:rPr>
        <w:t>31.12.2018</w:t>
      </w:r>
      <w:r>
        <w:rPr>
          <w:sz w:val="22"/>
          <w:szCs w:val="22"/>
        </w:rPr>
        <w:t xml:space="preserve"> г.). </w:t>
      </w:r>
    </w:p>
    <w:p w:rsidR="00055939" w:rsidRDefault="00055939" w:rsidP="00055939">
      <w:pPr>
        <w:jc w:val="both"/>
      </w:pPr>
    </w:p>
    <w:p w:rsidR="000E69A5" w:rsidRDefault="00055939" w:rsidP="000E69A5">
      <w:pPr>
        <w:jc w:val="both"/>
      </w:pPr>
      <w: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3F6962" w:rsidRDefault="003F6962" w:rsidP="000E69A5">
      <w:pPr>
        <w:jc w:val="both"/>
      </w:pPr>
    </w:p>
    <w:p w:rsidR="003F6962" w:rsidRPr="000E69A5" w:rsidRDefault="003F6962" w:rsidP="000E69A5">
      <w:pPr>
        <w:jc w:val="both"/>
        <w:sectPr w:rsidR="003F6962" w:rsidRPr="000E69A5">
          <w:footerReference w:type="default" r:id="rId7"/>
          <w:pgSz w:w="11906" w:h="16838"/>
          <w:pgMar w:top="1134" w:right="850" w:bottom="1134" w:left="1701" w:header="708" w:footer="708" w:gutter="0"/>
          <w:cols w:space="708"/>
          <w:docGrid w:linePitch="360"/>
        </w:sectPr>
      </w:pPr>
    </w:p>
    <w:tbl>
      <w:tblPr>
        <w:tblpPr w:leftFromText="180" w:rightFromText="180" w:vertAnchor="text" w:horzAnchor="margin" w:tblpY="6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43"/>
      </w:tblGrid>
      <w:tr w:rsidR="000E69A5" w:rsidRPr="006A5278" w:rsidTr="000E69A5">
        <w:trPr>
          <w:cantSplit/>
          <w:trHeight w:val="699"/>
        </w:trPr>
        <w:tc>
          <w:tcPr>
            <w:tcW w:w="7479" w:type="dxa"/>
            <w:shd w:val="clear" w:color="auto" w:fill="auto"/>
          </w:tcPr>
          <w:p w:rsidR="000E69A5" w:rsidRPr="00B0582C" w:rsidRDefault="000E69A5" w:rsidP="000E69A5">
            <w:pPr>
              <w:keepNext/>
              <w:spacing w:before="40" w:after="40"/>
              <w:jc w:val="both"/>
            </w:pPr>
            <w:r w:rsidRPr="00B0582C">
              <w:t>Число голосов, которыми обладали лица, включенные в список лиц, имевших право на участие в общем собрании, по вопросам повестки дня общего собрания:</w:t>
            </w:r>
          </w:p>
          <w:p w:rsidR="000E69A5" w:rsidRPr="00B0582C" w:rsidRDefault="000E69A5" w:rsidP="000E69A5">
            <w:pPr>
              <w:keepNext/>
              <w:spacing w:before="40" w:after="40"/>
              <w:jc w:val="both"/>
            </w:pPr>
          </w:p>
        </w:tc>
        <w:tc>
          <w:tcPr>
            <w:tcW w:w="1843" w:type="dxa"/>
            <w:shd w:val="clear" w:color="auto" w:fill="auto"/>
            <w:vAlign w:val="bottom"/>
          </w:tcPr>
          <w:p w:rsidR="000E69A5" w:rsidRPr="00B0582C" w:rsidRDefault="000E69A5" w:rsidP="000E69A5">
            <w:pPr>
              <w:keepNext/>
              <w:spacing w:before="40" w:after="40"/>
              <w:jc w:val="right"/>
              <w:rPr>
                <w:lang w:val="en-US"/>
              </w:rPr>
            </w:pPr>
            <w:r w:rsidRPr="00B0582C">
              <w:rPr>
                <w:lang w:val="en-US"/>
              </w:rPr>
              <w:t>1 778 656</w:t>
            </w:r>
          </w:p>
          <w:p w:rsidR="000E69A5" w:rsidRPr="00B0582C" w:rsidRDefault="000E69A5" w:rsidP="000E69A5">
            <w:pPr>
              <w:keepNext/>
              <w:spacing w:before="40" w:after="40"/>
              <w:jc w:val="right"/>
              <w:rPr>
                <w:lang w:val="en-US"/>
              </w:rPr>
            </w:pPr>
          </w:p>
        </w:tc>
      </w:tr>
      <w:tr w:rsidR="000E69A5" w:rsidRPr="006A5278" w:rsidTr="000E69A5">
        <w:trPr>
          <w:cantSplit/>
        </w:trPr>
        <w:tc>
          <w:tcPr>
            <w:tcW w:w="7479" w:type="dxa"/>
            <w:shd w:val="clear" w:color="auto" w:fill="auto"/>
          </w:tcPr>
          <w:p w:rsidR="000E69A5" w:rsidRPr="00B0582C" w:rsidRDefault="000E69A5" w:rsidP="000E69A5">
            <w:pPr>
              <w:keepNext/>
              <w:spacing w:before="40" w:after="40"/>
              <w:jc w:val="both"/>
            </w:pPr>
            <w:r w:rsidRPr="00B0582C">
              <w:t xml:space="preserve">Число голосов, приходившихся на голосующие акции общества по вопросам повестки дня общего собрания, определенное с учетом </w:t>
            </w:r>
            <w:r w:rsidRPr="00B0582C">
              <w:lastRenderedPageBreak/>
              <w:t>положений п. 4.20 Положения, утвержденного приказом ФСФР России от 02.02.2012 г. № 12-6/</w:t>
            </w:r>
            <w:proofErr w:type="spellStart"/>
            <w:r w:rsidRPr="00B0582C">
              <w:t>пз</w:t>
            </w:r>
            <w:proofErr w:type="spellEnd"/>
            <w:r w:rsidRPr="00B0582C">
              <w:t>-н:</w:t>
            </w:r>
          </w:p>
        </w:tc>
        <w:tc>
          <w:tcPr>
            <w:tcW w:w="1843" w:type="dxa"/>
            <w:shd w:val="clear" w:color="auto" w:fill="auto"/>
            <w:vAlign w:val="bottom"/>
          </w:tcPr>
          <w:p w:rsidR="000E69A5" w:rsidRPr="00B0582C" w:rsidRDefault="000E69A5" w:rsidP="000E69A5">
            <w:pPr>
              <w:keepNext/>
              <w:spacing w:before="40" w:after="40"/>
              <w:jc w:val="right"/>
              <w:rPr>
                <w:lang w:val="en-US"/>
              </w:rPr>
            </w:pPr>
            <w:r w:rsidRPr="00B0582C">
              <w:rPr>
                <w:lang w:val="en-US"/>
              </w:rPr>
              <w:lastRenderedPageBreak/>
              <w:t>1 778 656</w:t>
            </w:r>
          </w:p>
          <w:p w:rsidR="000E69A5" w:rsidRPr="00B0582C" w:rsidRDefault="000E69A5" w:rsidP="000E69A5">
            <w:pPr>
              <w:keepNext/>
              <w:spacing w:before="40" w:after="40"/>
              <w:jc w:val="right"/>
              <w:rPr>
                <w:lang w:val="en-US"/>
              </w:rPr>
            </w:pPr>
          </w:p>
        </w:tc>
      </w:tr>
      <w:tr w:rsidR="000E69A5" w:rsidRPr="00B0582C" w:rsidTr="000E69A5">
        <w:trPr>
          <w:cantSplit/>
        </w:trPr>
        <w:tc>
          <w:tcPr>
            <w:tcW w:w="7479" w:type="dxa"/>
            <w:shd w:val="clear" w:color="auto" w:fill="auto"/>
          </w:tcPr>
          <w:p w:rsidR="000E69A5" w:rsidRPr="00B0582C" w:rsidRDefault="000E69A5" w:rsidP="000E69A5">
            <w:pPr>
              <w:keepNext/>
              <w:spacing w:before="40" w:after="40"/>
              <w:jc w:val="both"/>
              <w:rPr>
                <w:color w:val="FF0000"/>
              </w:rPr>
            </w:pPr>
            <w:r w:rsidRPr="00B0582C">
              <w:lastRenderedPageBreak/>
              <w:t>Число голосов, которыми обладали лица, принявшие участие в общем собрании, по вопросам повестки дня общего собрания:</w:t>
            </w:r>
          </w:p>
        </w:tc>
        <w:tc>
          <w:tcPr>
            <w:tcW w:w="1843" w:type="dxa"/>
            <w:shd w:val="clear" w:color="auto" w:fill="auto"/>
            <w:vAlign w:val="bottom"/>
          </w:tcPr>
          <w:p w:rsidR="000E69A5" w:rsidRPr="00B0582C" w:rsidRDefault="000E69A5" w:rsidP="000E69A5">
            <w:pPr>
              <w:keepNext/>
              <w:spacing w:before="40" w:after="40"/>
              <w:jc w:val="right"/>
            </w:pPr>
            <w:r w:rsidRPr="00B0582C">
              <w:rPr>
                <w:lang w:val="en-US"/>
              </w:rPr>
              <w:t xml:space="preserve">1 774 </w:t>
            </w:r>
            <w:r w:rsidRPr="00B0582C">
              <w:t>348</w:t>
            </w:r>
          </w:p>
          <w:p w:rsidR="000E69A5" w:rsidRPr="00B0582C" w:rsidRDefault="000E69A5" w:rsidP="000E69A5">
            <w:pPr>
              <w:keepNext/>
              <w:spacing w:before="40" w:after="40"/>
              <w:jc w:val="right"/>
              <w:rPr>
                <w:color w:val="FF0000"/>
                <w:lang w:val="en-US"/>
              </w:rPr>
            </w:pPr>
          </w:p>
        </w:tc>
      </w:tr>
      <w:tr w:rsidR="000E69A5" w:rsidRPr="00B0582C" w:rsidTr="000E69A5">
        <w:trPr>
          <w:cantSplit/>
        </w:trPr>
        <w:tc>
          <w:tcPr>
            <w:tcW w:w="7479" w:type="dxa"/>
            <w:shd w:val="clear" w:color="auto" w:fill="auto"/>
          </w:tcPr>
          <w:p w:rsidR="000E69A5" w:rsidRPr="00B0582C" w:rsidRDefault="000E69A5" w:rsidP="000E69A5">
            <w:pPr>
              <w:keepNext/>
              <w:spacing w:before="40" w:after="40"/>
              <w:rPr>
                <w:b/>
                <w:bCs/>
              </w:rPr>
            </w:pPr>
            <w:r w:rsidRPr="00B0582C">
              <w:rPr>
                <w:b/>
                <w:bCs/>
              </w:rPr>
              <w:t>Наличие кворума:</w:t>
            </w:r>
          </w:p>
        </w:tc>
        <w:tc>
          <w:tcPr>
            <w:tcW w:w="1843" w:type="dxa"/>
            <w:shd w:val="clear" w:color="auto" w:fill="auto"/>
            <w:vAlign w:val="bottom"/>
          </w:tcPr>
          <w:p w:rsidR="000E69A5" w:rsidRPr="00B0582C" w:rsidRDefault="000E69A5" w:rsidP="000E69A5">
            <w:pPr>
              <w:keepNext/>
              <w:spacing w:before="40" w:after="40"/>
              <w:jc w:val="center"/>
              <w:rPr>
                <w:b/>
                <w:bCs/>
                <w:lang w:val="en-US"/>
              </w:rPr>
            </w:pPr>
            <w:r w:rsidRPr="00B0582C">
              <w:rPr>
                <w:b/>
                <w:bCs/>
                <w:color w:val="FF0000"/>
              </w:rPr>
              <w:t xml:space="preserve">     </w:t>
            </w:r>
            <w:proofErr w:type="spellStart"/>
            <w:proofErr w:type="gramStart"/>
            <w:r w:rsidRPr="00B0582C">
              <w:rPr>
                <w:b/>
                <w:bCs/>
                <w:lang w:val="en-US"/>
              </w:rPr>
              <w:t>есть</w:t>
            </w:r>
            <w:proofErr w:type="spellEnd"/>
            <w:proofErr w:type="gramEnd"/>
            <w:r w:rsidRPr="00B0582C">
              <w:rPr>
                <w:b/>
                <w:bCs/>
                <w:lang w:val="en-US"/>
              </w:rPr>
              <w:t xml:space="preserve"> (99,76%)</w:t>
            </w:r>
          </w:p>
        </w:tc>
      </w:tr>
    </w:tbl>
    <w:p w:rsidR="000E69A5" w:rsidRPr="00B0582C" w:rsidRDefault="000E69A5" w:rsidP="000E69A5">
      <w:pPr>
        <w:jc w:val="both"/>
        <w:rPr>
          <w:b/>
        </w:rPr>
      </w:pPr>
      <w:r w:rsidRPr="00B0582C">
        <w:rPr>
          <w:b/>
        </w:rPr>
        <w:lastRenderedPageBreak/>
        <w:t>Инфор</w:t>
      </w:r>
      <w:r w:rsidR="00815B37">
        <w:rPr>
          <w:b/>
        </w:rPr>
        <w:t>ма</w:t>
      </w:r>
      <w:r w:rsidR="004146C5">
        <w:rPr>
          <w:b/>
        </w:rPr>
        <w:t>ция о наличии кворума по вопросам</w:t>
      </w:r>
      <w:r w:rsidRPr="00B0582C">
        <w:rPr>
          <w:b/>
        </w:rPr>
        <w:t xml:space="preserve"> повестки дня, определенного по данным участия в общем собрании акционеров - владельцев голосующих акций**:</w:t>
      </w:r>
    </w:p>
    <w:p w:rsidR="000E69A5" w:rsidRPr="00B0582C" w:rsidRDefault="000E69A5" w:rsidP="000E69A5">
      <w:pPr>
        <w:jc w:val="both"/>
        <w:rPr>
          <w:b/>
        </w:rPr>
      </w:pPr>
      <w:r w:rsidRPr="00B0582C">
        <w:rPr>
          <w:b/>
        </w:rPr>
        <w:lastRenderedPageBreak/>
        <w:t xml:space="preserve">Информация о наличии кворума по </w:t>
      </w:r>
      <w:r w:rsidR="004146C5">
        <w:rPr>
          <w:b/>
        </w:rPr>
        <w:t>вопросам</w:t>
      </w:r>
      <w:r w:rsidR="0058745D">
        <w:rPr>
          <w:b/>
        </w:rPr>
        <w:t xml:space="preserve"> 1,3,4</w:t>
      </w:r>
      <w:r w:rsidRPr="00B0582C">
        <w:rPr>
          <w:b/>
        </w:rPr>
        <w:t xml:space="preserve"> повестки дня, определенного по данным участия в общем собрании акционеров - владельцев голосующих акций, не заинтересованных в сделках**: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1829"/>
      </w:tblGrid>
      <w:tr w:rsidR="000E69A5" w:rsidRPr="00B0582C" w:rsidTr="00742591">
        <w:trPr>
          <w:cantSplit/>
        </w:trPr>
        <w:tc>
          <w:tcPr>
            <w:tcW w:w="7521" w:type="dxa"/>
            <w:shd w:val="clear" w:color="auto" w:fill="auto"/>
          </w:tcPr>
          <w:p w:rsidR="000E69A5" w:rsidRPr="00B0582C" w:rsidRDefault="000E69A5" w:rsidP="00A4657A">
            <w:pPr>
              <w:keepNext/>
              <w:spacing w:before="40" w:after="40"/>
              <w:jc w:val="both"/>
            </w:pPr>
            <w:r w:rsidRPr="00B0582C">
              <w:t>Число голосов, которыми по данным вопросам обладали все лица, включенные в список лиц, имеющих право на участие в общем собрании, не заинтересованные в совершении обществом сделок:</w:t>
            </w:r>
          </w:p>
        </w:tc>
        <w:tc>
          <w:tcPr>
            <w:tcW w:w="1829" w:type="dxa"/>
            <w:shd w:val="clear" w:color="auto" w:fill="auto"/>
            <w:vAlign w:val="bottom"/>
          </w:tcPr>
          <w:p w:rsidR="000E69A5" w:rsidRPr="00B0582C" w:rsidRDefault="000E69A5" w:rsidP="00A4657A">
            <w:pPr>
              <w:keepNext/>
              <w:spacing w:before="40" w:after="40"/>
              <w:jc w:val="right"/>
              <w:rPr>
                <w:lang w:val="en-US"/>
              </w:rPr>
            </w:pPr>
            <w:r w:rsidRPr="00B0582C">
              <w:rPr>
                <w:lang w:val="en-US"/>
              </w:rPr>
              <w:t>1 778 656</w:t>
            </w:r>
          </w:p>
          <w:p w:rsidR="000E69A5" w:rsidRPr="00B0582C" w:rsidRDefault="000E69A5" w:rsidP="00A4657A">
            <w:pPr>
              <w:keepNext/>
              <w:spacing w:before="40" w:after="40"/>
              <w:jc w:val="right"/>
              <w:rPr>
                <w:lang w:val="en-US"/>
              </w:rPr>
            </w:pPr>
          </w:p>
        </w:tc>
      </w:tr>
      <w:tr w:rsidR="000E69A5" w:rsidRPr="00B0582C" w:rsidTr="00742591">
        <w:trPr>
          <w:cantSplit/>
        </w:trPr>
        <w:tc>
          <w:tcPr>
            <w:tcW w:w="7521" w:type="dxa"/>
            <w:shd w:val="clear" w:color="auto" w:fill="auto"/>
          </w:tcPr>
          <w:p w:rsidR="000E69A5" w:rsidRPr="00B0582C" w:rsidRDefault="000E69A5" w:rsidP="00A4657A">
            <w:pPr>
              <w:keepNext/>
              <w:spacing w:before="40" w:after="40"/>
              <w:jc w:val="both"/>
            </w:pPr>
            <w:r w:rsidRPr="00B0582C">
              <w:t>Число голосов, приходившихся на голосующие акции общества, владельцами которых являлись лица, не заинтересованные в совершении обществом сделок, определенное с учетом положений пункта 4.20 Положения, утвержденного приказом ФСФР России от 02.02.2012 г. № 12-6/</w:t>
            </w:r>
            <w:proofErr w:type="spellStart"/>
            <w:r w:rsidRPr="00B0582C">
              <w:t>пз</w:t>
            </w:r>
            <w:proofErr w:type="spellEnd"/>
            <w:r w:rsidRPr="00B0582C">
              <w:t>-н:</w:t>
            </w:r>
          </w:p>
        </w:tc>
        <w:tc>
          <w:tcPr>
            <w:tcW w:w="1829" w:type="dxa"/>
            <w:shd w:val="clear" w:color="auto" w:fill="auto"/>
            <w:vAlign w:val="bottom"/>
          </w:tcPr>
          <w:p w:rsidR="000E69A5" w:rsidRPr="00B0582C" w:rsidRDefault="000E69A5" w:rsidP="00A4657A">
            <w:pPr>
              <w:keepNext/>
              <w:spacing w:before="40" w:after="40"/>
              <w:jc w:val="right"/>
              <w:rPr>
                <w:lang w:val="en-US"/>
              </w:rPr>
            </w:pPr>
            <w:r w:rsidRPr="00B0582C">
              <w:rPr>
                <w:lang w:val="en-US"/>
              </w:rPr>
              <w:t>1 778 656</w:t>
            </w:r>
          </w:p>
          <w:p w:rsidR="000E69A5" w:rsidRPr="00B0582C" w:rsidRDefault="000E69A5" w:rsidP="00A4657A">
            <w:pPr>
              <w:keepNext/>
              <w:spacing w:before="40" w:after="40"/>
              <w:jc w:val="right"/>
              <w:rPr>
                <w:lang w:val="en-US"/>
              </w:rPr>
            </w:pPr>
          </w:p>
        </w:tc>
      </w:tr>
      <w:tr w:rsidR="000E69A5" w:rsidRPr="00B0582C" w:rsidTr="00742591">
        <w:trPr>
          <w:cantSplit/>
        </w:trPr>
        <w:tc>
          <w:tcPr>
            <w:tcW w:w="7521" w:type="dxa"/>
            <w:shd w:val="clear" w:color="auto" w:fill="auto"/>
          </w:tcPr>
          <w:p w:rsidR="000E69A5" w:rsidRPr="00B0582C" w:rsidRDefault="000E69A5" w:rsidP="00A4657A">
            <w:pPr>
              <w:keepNext/>
              <w:spacing w:before="40" w:after="40"/>
              <w:jc w:val="both"/>
            </w:pPr>
            <w:r w:rsidRPr="00B0582C">
              <w:t>Число голосов, которыми по данным вопросам обладали лица, не заинтересованные в совершении обществом сделок, принявшие участие в общем собрании:</w:t>
            </w:r>
          </w:p>
        </w:tc>
        <w:tc>
          <w:tcPr>
            <w:tcW w:w="1829" w:type="dxa"/>
            <w:shd w:val="clear" w:color="auto" w:fill="auto"/>
            <w:vAlign w:val="bottom"/>
          </w:tcPr>
          <w:p w:rsidR="000E69A5" w:rsidRPr="00B0582C" w:rsidRDefault="000E69A5" w:rsidP="00A4657A">
            <w:pPr>
              <w:keepNext/>
              <w:spacing w:before="40" w:after="40"/>
              <w:jc w:val="right"/>
            </w:pPr>
            <w:r w:rsidRPr="00B0582C">
              <w:rPr>
                <w:lang w:val="en-US"/>
              </w:rPr>
              <w:t xml:space="preserve">1 774 </w:t>
            </w:r>
            <w:r w:rsidRPr="00B0582C">
              <w:t>348</w:t>
            </w:r>
          </w:p>
          <w:p w:rsidR="000E69A5" w:rsidRPr="00B0582C" w:rsidRDefault="000E69A5" w:rsidP="00A4657A">
            <w:pPr>
              <w:keepNext/>
              <w:spacing w:before="40" w:after="40"/>
              <w:jc w:val="right"/>
              <w:rPr>
                <w:lang w:val="en-US"/>
              </w:rPr>
            </w:pPr>
          </w:p>
        </w:tc>
      </w:tr>
      <w:tr w:rsidR="000E69A5" w:rsidRPr="00B0582C" w:rsidTr="00742591">
        <w:trPr>
          <w:cantSplit/>
        </w:trPr>
        <w:tc>
          <w:tcPr>
            <w:tcW w:w="7521" w:type="dxa"/>
            <w:shd w:val="clear" w:color="auto" w:fill="auto"/>
          </w:tcPr>
          <w:p w:rsidR="000E69A5" w:rsidRPr="00B0582C" w:rsidRDefault="000E69A5" w:rsidP="00A4657A">
            <w:pPr>
              <w:keepNext/>
              <w:spacing w:before="40" w:after="40"/>
              <w:rPr>
                <w:b/>
                <w:bCs/>
              </w:rPr>
            </w:pPr>
            <w:r w:rsidRPr="00B0582C">
              <w:rPr>
                <w:b/>
                <w:bCs/>
              </w:rPr>
              <w:t>Наличие кворума:</w:t>
            </w:r>
          </w:p>
        </w:tc>
        <w:tc>
          <w:tcPr>
            <w:tcW w:w="1829" w:type="dxa"/>
            <w:shd w:val="clear" w:color="auto" w:fill="auto"/>
            <w:vAlign w:val="bottom"/>
          </w:tcPr>
          <w:p w:rsidR="000E69A5" w:rsidRPr="00B0582C" w:rsidRDefault="000E69A5" w:rsidP="00A4657A">
            <w:pPr>
              <w:keepNext/>
              <w:spacing w:before="40" w:after="40"/>
              <w:jc w:val="center"/>
              <w:rPr>
                <w:b/>
                <w:bCs/>
                <w:lang w:val="en-US"/>
              </w:rPr>
            </w:pPr>
            <w:proofErr w:type="spellStart"/>
            <w:proofErr w:type="gramStart"/>
            <w:r w:rsidRPr="00B0582C">
              <w:rPr>
                <w:b/>
                <w:bCs/>
                <w:lang w:val="en-US"/>
              </w:rPr>
              <w:t>есть</w:t>
            </w:r>
            <w:proofErr w:type="spellEnd"/>
            <w:proofErr w:type="gramEnd"/>
            <w:r w:rsidRPr="00B0582C">
              <w:rPr>
                <w:b/>
                <w:bCs/>
                <w:lang w:val="en-US"/>
              </w:rPr>
              <w:t xml:space="preserve"> (99,76%)</w:t>
            </w:r>
          </w:p>
        </w:tc>
      </w:tr>
    </w:tbl>
    <w:p w:rsidR="0058745D" w:rsidRPr="00B0582C" w:rsidRDefault="0058745D" w:rsidP="0058745D">
      <w:pPr>
        <w:jc w:val="both"/>
        <w:rPr>
          <w:b/>
        </w:rPr>
      </w:pPr>
      <w:r w:rsidRPr="00B0582C">
        <w:rPr>
          <w:b/>
        </w:rPr>
        <w:t xml:space="preserve">Информация о наличии кворума по </w:t>
      </w:r>
      <w:r w:rsidRPr="00B0582C">
        <w:rPr>
          <w:b/>
          <w:bCs/>
        </w:rPr>
        <w:t xml:space="preserve">2-му </w:t>
      </w:r>
      <w:r w:rsidRPr="00B0582C">
        <w:rPr>
          <w:b/>
        </w:rPr>
        <w:t>вопросу повестки дня, определенного по данным участия в общем собрании акционеров - владельцев голосующих акций, не заинтересованных в сделке**: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1829"/>
      </w:tblGrid>
      <w:tr w:rsidR="0058745D" w:rsidRPr="00B0582C" w:rsidTr="00E016CA">
        <w:trPr>
          <w:cantSplit/>
        </w:trPr>
        <w:tc>
          <w:tcPr>
            <w:tcW w:w="7521" w:type="dxa"/>
            <w:shd w:val="clear" w:color="auto" w:fill="auto"/>
          </w:tcPr>
          <w:p w:rsidR="0058745D" w:rsidRPr="00B0582C" w:rsidRDefault="0058745D" w:rsidP="00E016CA">
            <w:pPr>
              <w:keepNext/>
              <w:spacing w:before="40" w:after="40"/>
              <w:jc w:val="both"/>
            </w:pPr>
            <w:r w:rsidRPr="00B0582C">
              <w:t>Число голосов, которыми по данному вопросу обладали все лица, включенные в список лиц, имеющих право на участие в общем собрании, не заинтересованные в совершении обществом сделки:</w:t>
            </w:r>
          </w:p>
        </w:tc>
        <w:tc>
          <w:tcPr>
            <w:tcW w:w="1829" w:type="dxa"/>
            <w:shd w:val="clear" w:color="auto" w:fill="auto"/>
            <w:vAlign w:val="bottom"/>
          </w:tcPr>
          <w:p w:rsidR="0058745D" w:rsidRPr="00B0582C" w:rsidRDefault="0058745D" w:rsidP="00E016CA">
            <w:pPr>
              <w:keepNext/>
              <w:spacing w:before="40" w:after="40"/>
              <w:jc w:val="right"/>
              <w:rPr>
                <w:lang w:val="en-US"/>
              </w:rPr>
            </w:pPr>
            <w:r w:rsidRPr="00B0582C">
              <w:rPr>
                <w:lang w:val="en-US"/>
              </w:rPr>
              <w:t>24 690</w:t>
            </w:r>
          </w:p>
          <w:p w:rsidR="0058745D" w:rsidRPr="00B0582C" w:rsidRDefault="0058745D" w:rsidP="00E016CA">
            <w:pPr>
              <w:keepNext/>
              <w:spacing w:before="40" w:after="40"/>
              <w:jc w:val="right"/>
              <w:rPr>
                <w:lang w:val="en-US"/>
              </w:rPr>
            </w:pPr>
          </w:p>
        </w:tc>
      </w:tr>
      <w:tr w:rsidR="0058745D" w:rsidRPr="00B0582C" w:rsidTr="00E016CA">
        <w:trPr>
          <w:cantSplit/>
        </w:trPr>
        <w:tc>
          <w:tcPr>
            <w:tcW w:w="7521" w:type="dxa"/>
            <w:shd w:val="clear" w:color="auto" w:fill="auto"/>
          </w:tcPr>
          <w:p w:rsidR="0058745D" w:rsidRPr="00B0582C" w:rsidRDefault="0058745D" w:rsidP="00E016CA">
            <w:pPr>
              <w:keepNext/>
              <w:spacing w:before="40" w:after="40"/>
              <w:jc w:val="both"/>
            </w:pPr>
            <w:r w:rsidRPr="00B0582C">
              <w:t>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пункта 4.20 Положения, утвержденного приказом ФСФР России от 02.02.2012 г. № 12-6/</w:t>
            </w:r>
            <w:proofErr w:type="spellStart"/>
            <w:r w:rsidRPr="00B0582C">
              <w:t>пз</w:t>
            </w:r>
            <w:proofErr w:type="spellEnd"/>
            <w:r w:rsidRPr="00B0582C">
              <w:t>-н:</w:t>
            </w:r>
          </w:p>
        </w:tc>
        <w:tc>
          <w:tcPr>
            <w:tcW w:w="1829" w:type="dxa"/>
            <w:shd w:val="clear" w:color="auto" w:fill="auto"/>
            <w:vAlign w:val="bottom"/>
          </w:tcPr>
          <w:p w:rsidR="0058745D" w:rsidRPr="00B0582C" w:rsidRDefault="0058745D" w:rsidP="00E016CA">
            <w:pPr>
              <w:keepNext/>
              <w:spacing w:before="40" w:after="40"/>
              <w:jc w:val="right"/>
              <w:rPr>
                <w:lang w:val="en-US"/>
              </w:rPr>
            </w:pPr>
            <w:r w:rsidRPr="00B0582C">
              <w:rPr>
                <w:lang w:val="en-US"/>
              </w:rPr>
              <w:t>24 690</w:t>
            </w:r>
          </w:p>
          <w:p w:rsidR="0058745D" w:rsidRPr="00B0582C" w:rsidRDefault="0058745D" w:rsidP="00E016CA">
            <w:pPr>
              <w:keepNext/>
              <w:spacing w:before="40" w:after="40"/>
              <w:jc w:val="right"/>
              <w:rPr>
                <w:lang w:val="en-US"/>
              </w:rPr>
            </w:pPr>
          </w:p>
        </w:tc>
      </w:tr>
      <w:tr w:rsidR="0058745D" w:rsidRPr="00B0582C" w:rsidTr="00E016CA">
        <w:trPr>
          <w:cantSplit/>
        </w:trPr>
        <w:tc>
          <w:tcPr>
            <w:tcW w:w="7521" w:type="dxa"/>
            <w:shd w:val="clear" w:color="auto" w:fill="auto"/>
          </w:tcPr>
          <w:p w:rsidR="0058745D" w:rsidRPr="00B0582C" w:rsidRDefault="0058745D" w:rsidP="00E016CA">
            <w:pPr>
              <w:keepNext/>
              <w:spacing w:before="40" w:after="40"/>
              <w:jc w:val="both"/>
            </w:pPr>
            <w:r w:rsidRPr="00B0582C">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29" w:type="dxa"/>
            <w:shd w:val="clear" w:color="auto" w:fill="auto"/>
            <w:vAlign w:val="bottom"/>
          </w:tcPr>
          <w:p w:rsidR="0058745D" w:rsidRPr="00B0582C" w:rsidRDefault="0058745D" w:rsidP="00E016CA">
            <w:pPr>
              <w:keepNext/>
              <w:spacing w:before="40" w:after="40"/>
              <w:jc w:val="right"/>
              <w:rPr>
                <w:lang w:val="en-US"/>
              </w:rPr>
            </w:pPr>
            <w:r w:rsidRPr="00B0582C">
              <w:rPr>
                <w:lang w:val="en-US"/>
              </w:rPr>
              <w:t>20 382</w:t>
            </w:r>
          </w:p>
          <w:p w:rsidR="0058745D" w:rsidRPr="00B0582C" w:rsidRDefault="0058745D" w:rsidP="00E016CA">
            <w:pPr>
              <w:keepNext/>
              <w:spacing w:before="40" w:after="40"/>
              <w:jc w:val="right"/>
              <w:rPr>
                <w:lang w:val="en-US"/>
              </w:rPr>
            </w:pPr>
          </w:p>
        </w:tc>
      </w:tr>
      <w:tr w:rsidR="0058745D" w:rsidRPr="00B0582C" w:rsidTr="00E016CA">
        <w:trPr>
          <w:cantSplit/>
        </w:trPr>
        <w:tc>
          <w:tcPr>
            <w:tcW w:w="7521" w:type="dxa"/>
            <w:shd w:val="clear" w:color="auto" w:fill="auto"/>
          </w:tcPr>
          <w:p w:rsidR="0058745D" w:rsidRPr="00B0582C" w:rsidRDefault="0058745D" w:rsidP="00E016CA">
            <w:pPr>
              <w:keepNext/>
              <w:spacing w:before="40" w:after="40"/>
              <w:rPr>
                <w:b/>
                <w:bCs/>
              </w:rPr>
            </w:pPr>
            <w:r w:rsidRPr="00B0582C">
              <w:rPr>
                <w:b/>
                <w:bCs/>
              </w:rPr>
              <w:t>Наличие кворума:</w:t>
            </w:r>
          </w:p>
        </w:tc>
        <w:tc>
          <w:tcPr>
            <w:tcW w:w="1829" w:type="dxa"/>
            <w:shd w:val="clear" w:color="auto" w:fill="auto"/>
            <w:vAlign w:val="bottom"/>
          </w:tcPr>
          <w:p w:rsidR="0058745D" w:rsidRPr="00B0582C" w:rsidRDefault="0058745D" w:rsidP="00E016CA">
            <w:pPr>
              <w:keepNext/>
              <w:spacing w:before="40" w:after="40"/>
              <w:jc w:val="center"/>
              <w:rPr>
                <w:b/>
                <w:bCs/>
                <w:lang w:val="en-US"/>
              </w:rPr>
            </w:pPr>
            <w:proofErr w:type="spellStart"/>
            <w:proofErr w:type="gramStart"/>
            <w:r w:rsidRPr="00B0582C">
              <w:rPr>
                <w:b/>
                <w:bCs/>
                <w:lang w:val="en-US"/>
              </w:rPr>
              <w:t>есть</w:t>
            </w:r>
            <w:proofErr w:type="spellEnd"/>
            <w:proofErr w:type="gramEnd"/>
            <w:r w:rsidRPr="00B0582C">
              <w:rPr>
                <w:b/>
                <w:bCs/>
                <w:lang w:val="en-US"/>
              </w:rPr>
              <w:t xml:space="preserve"> (82,55%)</w:t>
            </w:r>
          </w:p>
        </w:tc>
      </w:tr>
    </w:tbl>
    <w:p w:rsidR="0058745D" w:rsidRDefault="0058745D" w:rsidP="0058745D">
      <w:pPr>
        <w:pStyle w:val="ac"/>
        <w:spacing w:before="0" w:beforeAutospacing="0" w:after="0" w:afterAutospacing="0"/>
        <w:ind w:firstLine="709"/>
        <w:jc w:val="both"/>
        <w:rPr>
          <w:sz w:val="22"/>
          <w:szCs w:val="22"/>
        </w:rPr>
      </w:pPr>
    </w:p>
    <w:p w:rsidR="000E69A5" w:rsidRPr="007C3B18" w:rsidRDefault="000E69A5" w:rsidP="000E69A5">
      <w:pPr>
        <w:jc w:val="both"/>
        <w:rPr>
          <w:i/>
          <w:sz w:val="20"/>
          <w:szCs w:val="20"/>
        </w:rPr>
      </w:pPr>
      <w:r w:rsidRPr="007C3B18">
        <w:rPr>
          <w:i/>
          <w:sz w:val="20"/>
          <w:szCs w:val="20"/>
        </w:rPr>
        <w:t>** 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055939" w:rsidRPr="00A41B09" w:rsidRDefault="00055939" w:rsidP="00055939">
      <w:pPr>
        <w:overflowPunct w:val="0"/>
        <w:autoSpaceDE w:val="0"/>
        <w:autoSpaceDN w:val="0"/>
        <w:adjustRightInd w:val="0"/>
        <w:spacing w:before="60"/>
        <w:jc w:val="both"/>
      </w:pPr>
      <w:r w:rsidRPr="00A41B09">
        <w:t>Кворум для проведения собрания и принятия реш</w:t>
      </w:r>
      <w:r w:rsidR="003D738D">
        <w:t>ений по вопросу</w:t>
      </w:r>
      <w:r w:rsidRPr="00A41B09">
        <w:t xml:space="preserve"> повестки дня имеется.</w:t>
      </w:r>
    </w:p>
    <w:p w:rsidR="00A41B09" w:rsidRDefault="00A41B09" w:rsidP="00055939">
      <w:pPr>
        <w:spacing w:before="60"/>
        <w:jc w:val="center"/>
        <w:rPr>
          <w:b/>
          <w:u w:val="single"/>
        </w:rPr>
      </w:pPr>
    </w:p>
    <w:p w:rsidR="0058745D" w:rsidRDefault="0058745D" w:rsidP="00055939">
      <w:pPr>
        <w:spacing w:before="60"/>
        <w:jc w:val="center"/>
        <w:rPr>
          <w:b/>
          <w:u w:val="single"/>
        </w:rPr>
      </w:pPr>
    </w:p>
    <w:p w:rsidR="0058745D" w:rsidRDefault="0058745D" w:rsidP="00055939">
      <w:pPr>
        <w:spacing w:before="60"/>
        <w:jc w:val="center"/>
        <w:rPr>
          <w:b/>
          <w:u w:val="single"/>
        </w:rPr>
      </w:pPr>
    </w:p>
    <w:p w:rsidR="00055939" w:rsidRPr="00FE0565" w:rsidRDefault="00055939" w:rsidP="00055939">
      <w:pPr>
        <w:spacing w:before="60"/>
        <w:jc w:val="center"/>
        <w:rPr>
          <w:b/>
          <w:u w:val="single"/>
        </w:rPr>
      </w:pPr>
      <w:r w:rsidRPr="00FE0565">
        <w:rPr>
          <w:b/>
          <w:u w:val="single"/>
        </w:rPr>
        <w:lastRenderedPageBreak/>
        <w:t>Повестка дня внеочередного общего собрания акционеров:</w:t>
      </w:r>
    </w:p>
    <w:p w:rsidR="00217243" w:rsidRDefault="00217243" w:rsidP="00217243">
      <w:pPr>
        <w:tabs>
          <w:tab w:val="left" w:pos="993"/>
        </w:tabs>
        <w:jc w:val="both"/>
      </w:pPr>
    </w:p>
    <w:p w:rsidR="00217243" w:rsidRPr="00217243" w:rsidRDefault="00217243" w:rsidP="00217243">
      <w:pPr>
        <w:tabs>
          <w:tab w:val="left" w:pos="993"/>
        </w:tabs>
        <w:jc w:val="both"/>
        <w:rPr>
          <w:lang w:eastAsia="en-US"/>
        </w:rPr>
      </w:pPr>
      <w:r w:rsidRPr="00217243">
        <w:t xml:space="preserve">1). О последующем одобрении крупной сделки Общества с </w:t>
      </w:r>
      <w:r w:rsidRPr="00217243">
        <w:rPr>
          <w:lang w:eastAsia="en-US"/>
        </w:rPr>
        <w:t>АО «</w:t>
      </w:r>
      <w:proofErr w:type="spellStart"/>
      <w:r w:rsidRPr="00217243">
        <w:rPr>
          <w:lang w:eastAsia="en-US"/>
        </w:rPr>
        <w:t>ЮниКредит</w:t>
      </w:r>
      <w:proofErr w:type="spellEnd"/>
      <w:r w:rsidRPr="00217243">
        <w:rPr>
          <w:lang w:eastAsia="en-US"/>
        </w:rPr>
        <w:t xml:space="preserve"> Банк»</w:t>
      </w:r>
      <w:r w:rsidRPr="00217243">
        <w:t xml:space="preserve">, в совершении которой имеется заинтересованность - </w:t>
      </w:r>
      <w:r w:rsidRPr="00217243">
        <w:rPr>
          <w:lang w:eastAsia="en-US"/>
        </w:rPr>
        <w:t>договора поручительства в обеспечение исполнения обязательств ПАО «</w:t>
      </w:r>
      <w:proofErr w:type="spellStart"/>
      <w:r w:rsidRPr="00217243">
        <w:rPr>
          <w:lang w:eastAsia="en-US"/>
        </w:rPr>
        <w:t>Томскгазстрой</w:t>
      </w:r>
      <w:proofErr w:type="spellEnd"/>
      <w:r w:rsidRPr="00217243">
        <w:rPr>
          <w:lang w:eastAsia="en-US"/>
        </w:rPr>
        <w:t>» по Соглашению №001/0719L/14 о специальных условиях предоставления револьверной линии для осуществления документарных операций от «15» августа 2014 г., заключенному между ПАО «</w:t>
      </w:r>
      <w:proofErr w:type="spellStart"/>
      <w:r w:rsidRPr="00217243">
        <w:rPr>
          <w:lang w:eastAsia="en-US"/>
        </w:rPr>
        <w:t>Томскгазстрой</w:t>
      </w:r>
      <w:proofErr w:type="spellEnd"/>
      <w:r w:rsidRPr="00217243">
        <w:rPr>
          <w:lang w:eastAsia="en-US"/>
        </w:rPr>
        <w:t>» и АО «</w:t>
      </w:r>
      <w:proofErr w:type="spellStart"/>
      <w:r w:rsidRPr="00217243">
        <w:rPr>
          <w:lang w:eastAsia="en-US"/>
        </w:rPr>
        <w:t>ЮниКредит</w:t>
      </w:r>
      <w:proofErr w:type="spellEnd"/>
      <w:r w:rsidRPr="00217243">
        <w:rPr>
          <w:lang w:eastAsia="en-US"/>
        </w:rPr>
        <w:t xml:space="preserve"> Банк».</w:t>
      </w:r>
    </w:p>
    <w:p w:rsidR="00217243" w:rsidRPr="00217243" w:rsidRDefault="00217243" w:rsidP="00217243">
      <w:pPr>
        <w:tabs>
          <w:tab w:val="left" w:pos="993"/>
        </w:tabs>
        <w:jc w:val="both"/>
        <w:rPr>
          <w:lang w:eastAsia="en-US"/>
        </w:rPr>
      </w:pPr>
      <w:r w:rsidRPr="00217243">
        <w:rPr>
          <w:lang w:eastAsia="en-US"/>
        </w:rPr>
        <w:t xml:space="preserve">2). </w:t>
      </w:r>
      <w:r w:rsidRPr="00217243">
        <w:t xml:space="preserve">О последующем одобрении крупной сделки Общества с </w:t>
      </w:r>
      <w:r w:rsidRPr="00217243">
        <w:rPr>
          <w:lang w:eastAsia="en-US"/>
        </w:rPr>
        <w:t>АО «</w:t>
      </w:r>
      <w:proofErr w:type="spellStart"/>
      <w:r w:rsidRPr="00217243">
        <w:rPr>
          <w:lang w:eastAsia="en-US"/>
        </w:rPr>
        <w:t>ЮниКредит</w:t>
      </w:r>
      <w:proofErr w:type="spellEnd"/>
      <w:r w:rsidRPr="00217243">
        <w:rPr>
          <w:lang w:eastAsia="en-US"/>
        </w:rPr>
        <w:t xml:space="preserve"> Банк»</w:t>
      </w:r>
      <w:r w:rsidRPr="00217243">
        <w:t xml:space="preserve">, в совершении которой имеется заинтересованность - </w:t>
      </w:r>
      <w:r w:rsidRPr="00217243">
        <w:rPr>
          <w:lang w:eastAsia="en-US"/>
        </w:rPr>
        <w:t xml:space="preserve">договора поручительства в обеспечение исполнения обязательств </w:t>
      </w:r>
      <w:r w:rsidRPr="00217243">
        <w:t>АО «ГМС Нефтемаш» по Соглашению №001/0145L/15 о специальных условиях предоставления револьверной линии для осуществления документарных операций от «17» апреля 2015г., заключенного между АО «ГМС Нефтемаш» и АО «</w:t>
      </w:r>
      <w:proofErr w:type="spellStart"/>
      <w:r w:rsidRPr="00217243">
        <w:t>ЮниКредит</w:t>
      </w:r>
      <w:proofErr w:type="spellEnd"/>
      <w:r w:rsidRPr="00217243">
        <w:t xml:space="preserve"> Банк»</w:t>
      </w:r>
      <w:r w:rsidRPr="00217243">
        <w:rPr>
          <w:lang w:eastAsia="en-US"/>
        </w:rPr>
        <w:t>.</w:t>
      </w:r>
    </w:p>
    <w:p w:rsidR="00217243" w:rsidRPr="00217243" w:rsidRDefault="00217243" w:rsidP="00217243">
      <w:pPr>
        <w:tabs>
          <w:tab w:val="left" w:pos="993"/>
        </w:tabs>
        <w:jc w:val="both"/>
        <w:rPr>
          <w:lang w:eastAsia="en-US"/>
        </w:rPr>
      </w:pPr>
      <w:r w:rsidRPr="00217243">
        <w:t xml:space="preserve">3). О последующем одобрении крупной сделки Общества с </w:t>
      </w:r>
      <w:r w:rsidRPr="00217243">
        <w:rPr>
          <w:lang w:eastAsia="en-US"/>
        </w:rPr>
        <w:t>АО «</w:t>
      </w:r>
      <w:proofErr w:type="spellStart"/>
      <w:r w:rsidRPr="00217243">
        <w:rPr>
          <w:lang w:eastAsia="en-US"/>
        </w:rPr>
        <w:t>ЮниКредит</w:t>
      </w:r>
      <w:proofErr w:type="spellEnd"/>
      <w:r w:rsidRPr="00217243">
        <w:rPr>
          <w:lang w:eastAsia="en-US"/>
        </w:rPr>
        <w:t xml:space="preserve"> Банк»</w:t>
      </w:r>
      <w:r w:rsidRPr="00217243">
        <w:t xml:space="preserve">, в совершении которой имеется заинтересованность - </w:t>
      </w:r>
      <w:r w:rsidRPr="00217243">
        <w:rPr>
          <w:lang w:eastAsia="en-US"/>
        </w:rPr>
        <w:t xml:space="preserve">договора поручительства в обеспечение исполнения обязательств </w:t>
      </w:r>
      <w:r w:rsidRPr="00217243">
        <w:t>ОАО «Казанский завод компрессорного машиностроения» по Соглашению №001/0153L/15 о специальных условиях предоставления револьверной линии для осуществления документарных операций от «21» апреля 2015г., заключенного между ОАО «Казанский завод компрессорного машиностроения» и АО «</w:t>
      </w:r>
      <w:proofErr w:type="spellStart"/>
      <w:r w:rsidRPr="00217243">
        <w:t>ЮниКредит</w:t>
      </w:r>
      <w:proofErr w:type="spellEnd"/>
      <w:r w:rsidRPr="00217243">
        <w:t xml:space="preserve"> Банк»</w:t>
      </w:r>
      <w:r w:rsidRPr="00217243">
        <w:rPr>
          <w:lang w:eastAsia="en-US"/>
        </w:rPr>
        <w:t>.</w:t>
      </w:r>
    </w:p>
    <w:p w:rsidR="00217243" w:rsidRPr="00217243" w:rsidRDefault="00217243" w:rsidP="00217243">
      <w:pPr>
        <w:tabs>
          <w:tab w:val="left" w:pos="993"/>
        </w:tabs>
        <w:jc w:val="both"/>
        <w:rPr>
          <w:lang w:eastAsia="en-US"/>
        </w:rPr>
      </w:pPr>
      <w:r w:rsidRPr="00217243">
        <w:t xml:space="preserve">4). О последующем одобрении крупной сделки Общества с </w:t>
      </w:r>
      <w:r w:rsidRPr="00217243">
        <w:rPr>
          <w:lang w:eastAsia="en-US"/>
        </w:rPr>
        <w:t>АО «</w:t>
      </w:r>
      <w:proofErr w:type="spellStart"/>
      <w:r w:rsidRPr="00217243">
        <w:rPr>
          <w:lang w:eastAsia="en-US"/>
        </w:rPr>
        <w:t>ЮниКредит</w:t>
      </w:r>
      <w:proofErr w:type="spellEnd"/>
      <w:r w:rsidRPr="00217243">
        <w:rPr>
          <w:lang w:eastAsia="en-US"/>
        </w:rPr>
        <w:t xml:space="preserve"> Банк»</w:t>
      </w:r>
      <w:r w:rsidRPr="00217243">
        <w:t xml:space="preserve">, в совершении которой имеется заинтересованность - </w:t>
      </w:r>
      <w:r w:rsidRPr="00217243">
        <w:rPr>
          <w:lang w:eastAsia="en-US"/>
        </w:rPr>
        <w:t>д</w:t>
      </w:r>
      <w:r w:rsidRPr="00217243">
        <w:t xml:space="preserve">ополнения № 2 к договору поручительства № </w:t>
      </w:r>
      <w:r w:rsidRPr="00217243">
        <w:rPr>
          <w:color w:val="000000"/>
        </w:rPr>
        <w:t>001/0788</w:t>
      </w:r>
      <w:r w:rsidRPr="00217243">
        <w:rPr>
          <w:color w:val="000000"/>
          <w:lang w:val="en-US"/>
        </w:rPr>
        <w:t>Z</w:t>
      </w:r>
      <w:r w:rsidRPr="00217243">
        <w:rPr>
          <w:color w:val="000000"/>
        </w:rPr>
        <w:t xml:space="preserve">/15 </w:t>
      </w:r>
      <w:r w:rsidRPr="00217243">
        <w:t>от «09» июня 2015 года, заключенного между АО «</w:t>
      </w:r>
      <w:proofErr w:type="spellStart"/>
      <w:r w:rsidRPr="00217243">
        <w:t>Сибнефтемаш</w:t>
      </w:r>
      <w:proofErr w:type="spellEnd"/>
      <w:r w:rsidRPr="00217243">
        <w:t>» и АО «</w:t>
      </w:r>
      <w:proofErr w:type="spellStart"/>
      <w:r w:rsidRPr="00217243">
        <w:t>ЮниКредит</w:t>
      </w:r>
      <w:proofErr w:type="spellEnd"/>
      <w:r w:rsidRPr="00217243">
        <w:t xml:space="preserve"> Банк» в обеспечение исполнения обязательств АО «ГИДРОМАШСЕРВИС» по Соглашению №001/0169L/15 о специальных условиях предоставления револьверной линии для осуществления документарных операций от «30» апреля 2015г. между АО «ГИДРОМАШСЕРВИС» и АО «</w:t>
      </w:r>
      <w:proofErr w:type="spellStart"/>
      <w:r w:rsidRPr="00217243">
        <w:t>ЮниКредит</w:t>
      </w:r>
      <w:proofErr w:type="spellEnd"/>
      <w:r w:rsidRPr="00217243">
        <w:t xml:space="preserve"> Банк».</w:t>
      </w:r>
    </w:p>
    <w:p w:rsidR="00733922" w:rsidRDefault="00733922" w:rsidP="00055939">
      <w:pPr>
        <w:spacing w:before="60"/>
        <w:rPr>
          <w:b/>
          <w:sz w:val="22"/>
          <w:szCs w:val="22"/>
        </w:rPr>
      </w:pPr>
    </w:p>
    <w:p w:rsidR="00055939" w:rsidRPr="00C259A4" w:rsidRDefault="00055939" w:rsidP="00055939">
      <w:pPr>
        <w:jc w:val="center"/>
        <w:rPr>
          <w:b/>
          <w:u w:val="single"/>
        </w:rPr>
      </w:pPr>
      <w:r w:rsidRPr="00C259A4">
        <w:rPr>
          <w:b/>
          <w:u w:val="single"/>
        </w:rPr>
        <w:t>Результат голосования и формулировка решения</w:t>
      </w:r>
    </w:p>
    <w:p w:rsidR="00055939" w:rsidRPr="00C259A4" w:rsidRDefault="00375A39" w:rsidP="00055939">
      <w:pPr>
        <w:jc w:val="center"/>
        <w:rPr>
          <w:b/>
          <w:u w:val="single"/>
        </w:rPr>
      </w:pPr>
      <w:r>
        <w:rPr>
          <w:b/>
          <w:u w:val="single"/>
        </w:rPr>
        <w:t>по вопросу</w:t>
      </w:r>
      <w:r w:rsidR="00055939" w:rsidRPr="00C259A4">
        <w:rPr>
          <w:b/>
          <w:u w:val="single"/>
        </w:rPr>
        <w:t xml:space="preserve"> повестки дня внеочередного общего собрания акционеров Общества:</w:t>
      </w:r>
    </w:p>
    <w:p w:rsidR="000A7F39" w:rsidRPr="00C259A4" w:rsidRDefault="000A7F39" w:rsidP="00055939">
      <w:pPr>
        <w:jc w:val="center"/>
        <w:rPr>
          <w:b/>
        </w:rPr>
      </w:pPr>
    </w:p>
    <w:p w:rsidR="00DE403E" w:rsidRPr="00C259A4" w:rsidRDefault="00055939" w:rsidP="00D758CB">
      <w:pPr>
        <w:jc w:val="both"/>
        <w:rPr>
          <w:b/>
          <w:caps/>
        </w:rPr>
      </w:pPr>
      <w:r w:rsidRPr="00C259A4">
        <w:rPr>
          <w:b/>
          <w:caps/>
        </w:rPr>
        <w:t xml:space="preserve">По вопросу № 1: </w:t>
      </w:r>
    </w:p>
    <w:p w:rsidR="004146C5" w:rsidRPr="00FC129A" w:rsidRDefault="004146C5" w:rsidP="004146C5">
      <w:pPr>
        <w:tabs>
          <w:tab w:val="left" w:pos="993"/>
        </w:tabs>
        <w:jc w:val="both"/>
        <w:rPr>
          <w:lang w:eastAsia="en-US"/>
        </w:rPr>
      </w:pPr>
      <w:r w:rsidRPr="00FC129A">
        <w:t xml:space="preserve">О последующем одобрении крупной сделки Общества с </w:t>
      </w:r>
      <w:r w:rsidRPr="00FC129A">
        <w:rPr>
          <w:lang w:eastAsia="en-US"/>
        </w:rPr>
        <w:t>АО «</w:t>
      </w:r>
      <w:proofErr w:type="spellStart"/>
      <w:r w:rsidRPr="00FC129A">
        <w:rPr>
          <w:lang w:eastAsia="en-US"/>
        </w:rPr>
        <w:t>ЮниКредит</w:t>
      </w:r>
      <w:proofErr w:type="spellEnd"/>
      <w:r w:rsidRPr="00FC129A">
        <w:rPr>
          <w:lang w:eastAsia="en-US"/>
        </w:rPr>
        <w:t xml:space="preserve"> Банк»</w:t>
      </w:r>
      <w:r w:rsidRPr="00FC129A">
        <w:t xml:space="preserve">, в совершении которой имеется заинтересованность - </w:t>
      </w:r>
      <w:r w:rsidRPr="00FC129A">
        <w:rPr>
          <w:lang w:eastAsia="en-US"/>
        </w:rPr>
        <w:t>договора поручительства в обеспечение исполнения обязательств ПАО «</w:t>
      </w:r>
      <w:proofErr w:type="spellStart"/>
      <w:r w:rsidRPr="00FC129A">
        <w:rPr>
          <w:lang w:eastAsia="en-US"/>
        </w:rPr>
        <w:t>Томскгазстрой</w:t>
      </w:r>
      <w:proofErr w:type="spellEnd"/>
      <w:r w:rsidRPr="00FC129A">
        <w:rPr>
          <w:lang w:eastAsia="en-US"/>
        </w:rPr>
        <w:t>» по Соглашению №001/0719L/14 о специальных условиях предоставления револьверной линии для осуществления документарных операций от «15» августа 2014 г., заключенному между ПАО «</w:t>
      </w:r>
      <w:proofErr w:type="spellStart"/>
      <w:r w:rsidRPr="00FC129A">
        <w:rPr>
          <w:lang w:eastAsia="en-US"/>
        </w:rPr>
        <w:t>Томскгазстрой</w:t>
      </w:r>
      <w:proofErr w:type="spellEnd"/>
      <w:r w:rsidRPr="00FC129A">
        <w:rPr>
          <w:lang w:eastAsia="en-US"/>
        </w:rPr>
        <w:t>» и АО «</w:t>
      </w:r>
      <w:proofErr w:type="spellStart"/>
      <w:r w:rsidRPr="00FC129A">
        <w:rPr>
          <w:lang w:eastAsia="en-US"/>
        </w:rPr>
        <w:t>ЮниКредит</w:t>
      </w:r>
      <w:proofErr w:type="spellEnd"/>
      <w:r w:rsidRPr="00FC129A">
        <w:rPr>
          <w:lang w:eastAsia="en-US"/>
        </w:rPr>
        <w:t xml:space="preserve"> Банк».</w:t>
      </w:r>
    </w:p>
    <w:p w:rsidR="00055939" w:rsidRPr="00C259A4" w:rsidRDefault="00055939" w:rsidP="00055939">
      <w:pPr>
        <w:spacing w:before="120" w:after="120"/>
        <w:jc w:val="both"/>
        <w:rPr>
          <w:b/>
          <w:bCs/>
        </w:rPr>
      </w:pPr>
      <w:r w:rsidRPr="00C259A4">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055939" w:rsidTr="001E45E3">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55939" w:rsidRDefault="00055939">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sz w:val="22"/>
                <w:szCs w:val="22"/>
              </w:rPr>
            </w:pPr>
            <w:r>
              <w:rPr>
                <w:sz w:val="22"/>
                <w:szCs w:val="22"/>
              </w:rPr>
              <w:t>Сделка с заинтересованностью</w:t>
            </w:r>
          </w:p>
        </w:tc>
      </w:tr>
      <w:tr w:rsidR="00055939" w:rsidTr="001E45E3">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b/>
                <w:sz w:val="22"/>
                <w:szCs w:val="22"/>
              </w:rPr>
            </w:pPr>
            <w:r>
              <w:rPr>
                <w:b/>
                <w:sz w:val="22"/>
                <w:szCs w:val="22"/>
              </w:rPr>
              <w:t>%</w:t>
            </w:r>
          </w:p>
        </w:tc>
      </w:tr>
      <w:tr w:rsidR="00055939" w:rsidTr="001E45E3">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055939" w:rsidRPr="00310CE2" w:rsidRDefault="00310CE2" w:rsidP="00310CE2">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055939" w:rsidRDefault="00310CE2">
            <w:pPr>
              <w:overflowPunct w:val="0"/>
              <w:autoSpaceDE w:val="0"/>
              <w:autoSpaceDN w:val="0"/>
              <w:adjustRightInd w:val="0"/>
              <w:jc w:val="right"/>
              <w:rPr>
                <w:bCs/>
                <w:sz w:val="22"/>
                <w:szCs w:val="22"/>
              </w:rPr>
            </w:pPr>
            <w:r>
              <w:rPr>
                <w:bCs/>
                <w:sz w:val="22"/>
                <w:szCs w:val="22"/>
              </w:rPr>
              <w:t>1 774 348</w:t>
            </w:r>
          </w:p>
        </w:tc>
        <w:tc>
          <w:tcPr>
            <w:tcW w:w="1594" w:type="dxa"/>
            <w:tcBorders>
              <w:top w:val="single" w:sz="6" w:space="0" w:color="000000"/>
              <w:left w:val="single" w:sz="6" w:space="0" w:color="000000"/>
              <w:bottom w:val="single" w:sz="6" w:space="0" w:color="000000"/>
              <w:right w:val="single" w:sz="6" w:space="0" w:color="000000"/>
            </w:tcBorders>
            <w:hideMark/>
          </w:tcPr>
          <w:p w:rsidR="00055939" w:rsidRDefault="00055939">
            <w:pPr>
              <w:overflowPunct w:val="0"/>
              <w:autoSpaceDE w:val="0"/>
              <w:autoSpaceDN w:val="0"/>
              <w:adjustRightInd w:val="0"/>
              <w:jc w:val="right"/>
              <w:rPr>
                <w:bCs/>
                <w:sz w:val="22"/>
                <w:szCs w:val="22"/>
              </w:rPr>
            </w:pPr>
            <w:r>
              <w:rPr>
                <w:bCs/>
                <w:sz w:val="22"/>
                <w:szCs w:val="22"/>
              </w:rPr>
              <w:t>100</w:t>
            </w:r>
          </w:p>
        </w:tc>
      </w:tr>
      <w:tr w:rsidR="00055939" w:rsidTr="001E45E3">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055939" w:rsidRDefault="00055939">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055939" w:rsidRDefault="00055939">
            <w:pPr>
              <w:overflowPunct w:val="0"/>
              <w:autoSpaceDE w:val="0"/>
              <w:autoSpaceDN w:val="0"/>
              <w:adjustRightInd w:val="0"/>
              <w:jc w:val="right"/>
              <w:rPr>
                <w:sz w:val="22"/>
                <w:szCs w:val="22"/>
              </w:rPr>
            </w:pPr>
            <w:r>
              <w:rPr>
                <w:sz w:val="22"/>
                <w:szCs w:val="22"/>
              </w:rPr>
              <w:t>0</w:t>
            </w:r>
          </w:p>
        </w:tc>
      </w:tr>
      <w:tr w:rsidR="00055939" w:rsidTr="001E45E3">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055939" w:rsidRDefault="00055939">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055939" w:rsidRDefault="00055939">
            <w:pPr>
              <w:overflowPunct w:val="0"/>
              <w:autoSpaceDE w:val="0"/>
              <w:autoSpaceDN w:val="0"/>
              <w:adjustRightInd w:val="0"/>
              <w:jc w:val="right"/>
              <w:rPr>
                <w:sz w:val="22"/>
                <w:szCs w:val="22"/>
              </w:rPr>
            </w:pPr>
            <w:r>
              <w:rPr>
                <w:sz w:val="22"/>
                <w:szCs w:val="22"/>
              </w:rPr>
              <w:t>0</w:t>
            </w:r>
          </w:p>
        </w:tc>
      </w:tr>
    </w:tbl>
    <w:p w:rsidR="00055939" w:rsidRDefault="00055939" w:rsidP="00055939">
      <w:pPr>
        <w:tabs>
          <w:tab w:val="left" w:pos="9000"/>
        </w:tabs>
        <w:rPr>
          <w:b/>
          <w:bCs/>
          <w:sz w:val="20"/>
          <w:szCs w:val="20"/>
        </w:rPr>
      </w:pPr>
    </w:p>
    <w:p w:rsidR="00055939" w:rsidRPr="00C259A4" w:rsidRDefault="00055939" w:rsidP="00055939">
      <w:pPr>
        <w:tabs>
          <w:tab w:val="left" w:pos="9000"/>
        </w:tabs>
        <w:rPr>
          <w:b/>
          <w:bCs/>
        </w:rPr>
      </w:pPr>
      <w:r w:rsidRPr="00C259A4">
        <w:rPr>
          <w:b/>
          <w:bCs/>
        </w:rPr>
        <w:t>Кворум для принятия решения по данному вопросу имеется.</w:t>
      </w:r>
    </w:p>
    <w:p w:rsidR="00055939" w:rsidRPr="00C259A4" w:rsidRDefault="00055939" w:rsidP="00055939">
      <w:pPr>
        <w:tabs>
          <w:tab w:val="left" w:pos="2660"/>
          <w:tab w:val="left" w:pos="10704"/>
        </w:tabs>
        <w:spacing w:before="120"/>
        <w:jc w:val="both"/>
      </w:pPr>
      <w:r w:rsidRPr="00C259A4">
        <w:rPr>
          <w:b/>
        </w:rPr>
        <w:t>Принято решение</w:t>
      </w:r>
      <w:r w:rsidRPr="00C259A4">
        <w:t xml:space="preserve">: </w:t>
      </w:r>
    </w:p>
    <w:p w:rsidR="00562C5E" w:rsidRPr="00562C5E" w:rsidRDefault="00562C5E" w:rsidP="00562C5E">
      <w:pPr>
        <w:jc w:val="both"/>
      </w:pPr>
      <w:r w:rsidRPr="00562C5E">
        <w:t xml:space="preserve">Одобрить заключение Обществом крупной сделки с </w:t>
      </w:r>
      <w:r w:rsidRPr="00562C5E">
        <w:rPr>
          <w:lang w:eastAsia="en-US"/>
        </w:rPr>
        <w:t>АО «</w:t>
      </w:r>
      <w:proofErr w:type="spellStart"/>
      <w:r w:rsidRPr="00562C5E">
        <w:rPr>
          <w:lang w:eastAsia="en-US"/>
        </w:rPr>
        <w:t>ЮниКредит</w:t>
      </w:r>
      <w:proofErr w:type="spellEnd"/>
      <w:r w:rsidRPr="00562C5E">
        <w:rPr>
          <w:lang w:eastAsia="en-US"/>
        </w:rPr>
        <w:t xml:space="preserve"> Банк» (далее –Банк)</w:t>
      </w:r>
      <w:r w:rsidRPr="00562C5E">
        <w:t xml:space="preserve">, в совершении которой имеется заинтересованность - </w:t>
      </w:r>
      <w:r w:rsidRPr="00562C5E">
        <w:rPr>
          <w:lang w:eastAsia="en-US"/>
        </w:rPr>
        <w:t xml:space="preserve">договора поручительства в </w:t>
      </w:r>
      <w:r w:rsidRPr="00562C5E">
        <w:rPr>
          <w:lang w:eastAsia="en-US"/>
        </w:rPr>
        <w:lastRenderedPageBreak/>
        <w:t>обеспечение исполнения обязательств ПАО «</w:t>
      </w:r>
      <w:proofErr w:type="spellStart"/>
      <w:r w:rsidRPr="00562C5E">
        <w:rPr>
          <w:lang w:eastAsia="en-US"/>
        </w:rPr>
        <w:t>Томскгазстрой</w:t>
      </w:r>
      <w:proofErr w:type="spellEnd"/>
      <w:r w:rsidRPr="00562C5E">
        <w:rPr>
          <w:lang w:eastAsia="en-US"/>
        </w:rPr>
        <w:t>» по Соглашению №001/0719L/14 о специальных условиях предоставления револьверной линии (далее - Линии) для осуществления документарных операций от «15» августа 2014 г., заключенному между ПАО «</w:t>
      </w:r>
      <w:proofErr w:type="spellStart"/>
      <w:r w:rsidRPr="00562C5E">
        <w:rPr>
          <w:lang w:eastAsia="en-US"/>
        </w:rPr>
        <w:t>Томскгазстрой</w:t>
      </w:r>
      <w:proofErr w:type="spellEnd"/>
      <w:r w:rsidRPr="00562C5E">
        <w:rPr>
          <w:lang w:eastAsia="en-US"/>
        </w:rPr>
        <w:t xml:space="preserve">» (далее – Клиент) и </w:t>
      </w:r>
      <w:proofErr w:type="gramStart"/>
      <w:r w:rsidRPr="00562C5E">
        <w:rPr>
          <w:lang w:eastAsia="en-US"/>
        </w:rPr>
        <w:t>Банком  (</w:t>
      </w:r>
      <w:proofErr w:type="gramEnd"/>
      <w:r w:rsidRPr="00562C5E">
        <w:rPr>
          <w:lang w:eastAsia="en-US"/>
        </w:rPr>
        <w:t>далее - Соглашение)</w:t>
      </w:r>
      <w:r w:rsidRPr="00562C5E">
        <w:t xml:space="preserve"> на следующих условиях: </w:t>
      </w:r>
    </w:p>
    <w:p w:rsidR="00562C5E" w:rsidRPr="00562C5E" w:rsidRDefault="00562C5E" w:rsidP="00562C5E">
      <w:pPr>
        <w:rPr>
          <w:b/>
          <w:u w:val="single"/>
        </w:rPr>
      </w:pPr>
    </w:p>
    <w:p w:rsidR="00562C5E" w:rsidRPr="00562C5E" w:rsidRDefault="00562C5E" w:rsidP="00562C5E">
      <w:pPr>
        <w:rPr>
          <w:u w:val="single"/>
        </w:rPr>
      </w:pPr>
      <w:r w:rsidRPr="00562C5E">
        <w:rPr>
          <w:u w:val="single"/>
        </w:rPr>
        <w:t>Стороны сделки:</w:t>
      </w:r>
    </w:p>
    <w:p w:rsidR="00562C5E" w:rsidRPr="00562C5E" w:rsidRDefault="00562C5E" w:rsidP="00562C5E">
      <w:r w:rsidRPr="00562C5E">
        <w:t>Банк: Акционерное общество</w:t>
      </w:r>
      <w:r w:rsidRPr="00562C5E">
        <w:rPr>
          <w:lang w:eastAsia="en-US"/>
        </w:rPr>
        <w:t xml:space="preserve"> «</w:t>
      </w:r>
      <w:proofErr w:type="spellStart"/>
      <w:r w:rsidRPr="00562C5E">
        <w:rPr>
          <w:lang w:eastAsia="en-US"/>
        </w:rPr>
        <w:t>ЮниКредит</w:t>
      </w:r>
      <w:proofErr w:type="spellEnd"/>
      <w:r w:rsidRPr="00562C5E">
        <w:rPr>
          <w:lang w:eastAsia="en-US"/>
        </w:rPr>
        <w:t xml:space="preserve"> Банк»</w:t>
      </w:r>
    </w:p>
    <w:p w:rsidR="00562C5E" w:rsidRPr="00562C5E" w:rsidRDefault="00562C5E" w:rsidP="00562C5E">
      <w:pPr>
        <w:jc w:val="both"/>
      </w:pPr>
      <w:r w:rsidRPr="00562C5E">
        <w:t>Поручитель: Акционерное общество «</w:t>
      </w:r>
      <w:proofErr w:type="spellStart"/>
      <w:r w:rsidRPr="00562C5E">
        <w:t>Сибнефтемаш</w:t>
      </w:r>
      <w:proofErr w:type="spellEnd"/>
      <w:r w:rsidRPr="00562C5E">
        <w:t>»</w:t>
      </w:r>
    </w:p>
    <w:p w:rsidR="00562C5E" w:rsidRPr="00562C5E" w:rsidRDefault="00562C5E" w:rsidP="00562C5E">
      <w:pPr>
        <w:jc w:val="both"/>
      </w:pPr>
    </w:p>
    <w:p w:rsidR="00562C5E" w:rsidRPr="00562C5E" w:rsidRDefault="00562C5E" w:rsidP="00562C5E">
      <w:pPr>
        <w:rPr>
          <w:u w:val="single"/>
        </w:rPr>
      </w:pPr>
      <w:r w:rsidRPr="00562C5E">
        <w:rPr>
          <w:u w:val="single"/>
        </w:rPr>
        <w:t>Существенные условия сделки:</w:t>
      </w:r>
    </w:p>
    <w:p w:rsidR="00562C5E" w:rsidRPr="00562C5E" w:rsidRDefault="00562C5E" w:rsidP="00562C5E">
      <w:pPr>
        <w:jc w:val="both"/>
        <w:rPr>
          <w:u w:val="single"/>
        </w:rPr>
      </w:pPr>
      <w:r w:rsidRPr="00562C5E">
        <w:rPr>
          <w:u w:val="single"/>
        </w:rPr>
        <w:t>1. Существенные условия Соглашения:</w:t>
      </w:r>
      <w:r w:rsidRPr="00562C5E">
        <w:rPr>
          <w:u w:val="single"/>
          <w:lang w:eastAsia="en-US"/>
        </w:rPr>
        <w:t xml:space="preserve"> </w:t>
      </w:r>
    </w:p>
    <w:p w:rsidR="00562C5E" w:rsidRPr="00562C5E" w:rsidRDefault="00562C5E" w:rsidP="00562C5E">
      <w:pPr>
        <w:jc w:val="both"/>
        <w:rPr>
          <w:lang w:eastAsia="en-US"/>
        </w:rPr>
      </w:pPr>
      <w:r w:rsidRPr="00562C5E">
        <w:rPr>
          <w:lang w:eastAsia="en-US"/>
        </w:rPr>
        <w:t xml:space="preserve">Лимит Линии в размере </w:t>
      </w:r>
      <w:r w:rsidRPr="00562C5E">
        <w:rPr>
          <w:b/>
          <w:lang w:eastAsia="en-US"/>
        </w:rPr>
        <w:t>400 000 000,00</w:t>
      </w:r>
      <w:r w:rsidRPr="00562C5E">
        <w:rPr>
          <w:lang w:eastAsia="en-US"/>
        </w:rPr>
        <w:t xml:space="preserve"> (Четыреста миллионов) рублей РФ. Срок действия Соглашения – до «28» декабря 2022 г. Датой окончания Срока действия Линии является «28» декабря 2022г.</w:t>
      </w:r>
    </w:p>
    <w:p w:rsidR="00562C5E" w:rsidRPr="00562C5E" w:rsidRDefault="00562C5E" w:rsidP="00562C5E">
      <w:pPr>
        <w:jc w:val="both"/>
        <w:rPr>
          <w:i/>
          <w:lang w:eastAsia="en-US"/>
        </w:rPr>
      </w:pPr>
      <w:r w:rsidRPr="00562C5E">
        <w:rPr>
          <w:lang w:eastAsia="en-US"/>
        </w:rPr>
        <w:t xml:space="preserve">Цели использования Линии - выдача, увеличение суммы, продление срока действия гарантий  </w:t>
      </w:r>
      <w:r w:rsidRPr="00562C5E">
        <w:rPr>
          <w:i/>
          <w:lang w:eastAsia="en-US"/>
        </w:rPr>
        <w:t xml:space="preserve">(под гарантиями подразумеваются, в случае соответствующих обращений Клиента, также </w:t>
      </w:r>
      <w:proofErr w:type="spellStart"/>
      <w:r w:rsidRPr="00562C5E">
        <w:rPr>
          <w:i/>
          <w:lang w:eastAsia="en-US"/>
        </w:rPr>
        <w:t>контргарантии</w:t>
      </w:r>
      <w:proofErr w:type="spellEnd"/>
      <w:r w:rsidRPr="00562C5E">
        <w:rPr>
          <w:i/>
          <w:lang w:eastAsia="en-US"/>
        </w:rPr>
        <w:t xml:space="preserve">, гарантии по обязательствам третьего лица и резервные аккредитивы (в отношении резервных аккредитивов - только по трансграничным сделкам) </w:t>
      </w:r>
      <w:r w:rsidRPr="00562C5E">
        <w:rPr>
          <w:lang w:eastAsia="en-US"/>
        </w:rPr>
        <w:t>в рублях РФ, долларах США и евро, перевод гарантий, выданных на условиях иных соглашений о выдаче гарантий, с предоставлением/без предоставления или частичным предоставлением Клиентом денежного покрытия, в Лимит Линии.</w:t>
      </w:r>
    </w:p>
    <w:p w:rsidR="00562C5E" w:rsidRPr="00562C5E" w:rsidRDefault="00562C5E" w:rsidP="00562C5E">
      <w:pPr>
        <w:jc w:val="center"/>
        <w:rPr>
          <w:lang w:eastAsia="en-US"/>
        </w:rPr>
      </w:pPr>
      <w:r w:rsidRPr="00562C5E">
        <w:rPr>
          <w:lang w:eastAsia="en-US"/>
        </w:rPr>
        <w:t>Совокупная Сумма Использования Линии по Соглашению:</w:t>
      </w:r>
    </w:p>
    <w:p w:rsidR="00562C5E" w:rsidRPr="00562C5E" w:rsidRDefault="00562C5E" w:rsidP="00562C5E">
      <w:pPr>
        <w:autoSpaceDE w:val="0"/>
        <w:autoSpaceDN w:val="0"/>
        <w:adjustRightInd w:val="0"/>
        <w:spacing w:after="120"/>
        <w:ind w:firstLine="567"/>
        <w:jc w:val="both"/>
        <w:rPr>
          <w:color w:val="000000"/>
          <w:lang w:eastAsia="en-US"/>
        </w:rPr>
      </w:pPr>
      <w:r w:rsidRPr="00562C5E">
        <w:rPr>
          <w:lang w:eastAsia="en-US"/>
        </w:rPr>
        <w:t xml:space="preserve">- по  Соглашению №001/0169L/15 </w:t>
      </w:r>
      <w:r w:rsidRPr="00562C5E">
        <w:rPr>
          <w:iCs/>
          <w:lang w:eastAsia="en-US"/>
        </w:rPr>
        <w:t>о специальных условиях предоставления револьверной линии для осуществления документарных операций</w:t>
      </w:r>
      <w:r w:rsidRPr="00562C5E">
        <w:rPr>
          <w:lang w:eastAsia="en-US"/>
        </w:rPr>
        <w:t xml:space="preserve"> от «30» апреля 2015 года, по </w:t>
      </w:r>
      <w:r w:rsidRPr="00562C5E">
        <w:rPr>
          <w:iCs/>
          <w:lang w:eastAsia="en-US"/>
        </w:rPr>
        <w:t>Соглашению №001/0098L/14 о специальных условиях предоставления револьверной линии для осуществления документарных операций от «03» февраля 2014 года</w:t>
      </w:r>
      <w:r w:rsidRPr="00562C5E">
        <w:rPr>
          <w:lang w:eastAsia="en-US"/>
        </w:rPr>
        <w:t xml:space="preserve">, заключенным между Банком и </w:t>
      </w:r>
      <w:r w:rsidRPr="00562C5E">
        <w:rPr>
          <w:b/>
          <w:color w:val="000000"/>
          <w:lang w:eastAsia="en-US"/>
        </w:rPr>
        <w:t>Акционерным обществом «ГИДРОМАШСЕРВИС»</w:t>
      </w:r>
      <w:r w:rsidRPr="00562C5E">
        <w:rPr>
          <w:color w:val="000000"/>
          <w:lang w:eastAsia="en-US"/>
        </w:rPr>
        <w:t>,</w:t>
      </w:r>
      <w:r w:rsidRPr="00562C5E">
        <w:rPr>
          <w:lang w:eastAsia="en-US"/>
        </w:rPr>
        <w:t xml:space="preserve"> </w:t>
      </w:r>
      <w:r w:rsidRPr="00562C5E">
        <w:rPr>
          <w:color w:val="000000"/>
          <w:lang w:eastAsia="en-US"/>
        </w:rPr>
        <w:t xml:space="preserve">созданным и зарегистрированным в соответствии с законодательством Российской Федерации, ОГРН </w:t>
      </w:r>
      <w:r w:rsidRPr="00562C5E">
        <w:rPr>
          <w:bCs/>
          <w:color w:val="000000"/>
          <w:lang w:eastAsia="en-US"/>
        </w:rPr>
        <w:t>1027739083580</w:t>
      </w:r>
      <w:r w:rsidRPr="00562C5E">
        <w:rPr>
          <w:color w:val="000000"/>
          <w:lang w:eastAsia="en-US"/>
        </w:rPr>
        <w:t xml:space="preserve">, ИНН </w:t>
      </w:r>
      <w:r w:rsidRPr="00562C5E">
        <w:rPr>
          <w:bCs/>
          <w:color w:val="000000"/>
          <w:lang w:eastAsia="en-US"/>
        </w:rPr>
        <w:t>7733015025</w:t>
      </w:r>
      <w:r w:rsidRPr="00562C5E">
        <w:rPr>
          <w:lang w:eastAsia="en-US"/>
        </w:rPr>
        <w:t xml:space="preserve">, </w:t>
      </w:r>
      <w:r w:rsidRPr="00562C5E">
        <w:rPr>
          <w:color w:val="000000"/>
          <w:lang w:eastAsia="en-US"/>
        </w:rPr>
        <w:t xml:space="preserve">адрес юридического лица: 127006, г. Москва, ул. </w:t>
      </w:r>
      <w:proofErr w:type="spellStart"/>
      <w:r w:rsidRPr="00562C5E">
        <w:rPr>
          <w:color w:val="000000"/>
          <w:lang w:eastAsia="en-US"/>
        </w:rPr>
        <w:t>Долгоруковская</w:t>
      </w:r>
      <w:proofErr w:type="spellEnd"/>
      <w:r w:rsidRPr="00562C5E">
        <w:rPr>
          <w:color w:val="000000"/>
          <w:lang w:eastAsia="en-US"/>
        </w:rPr>
        <w:t xml:space="preserve">, д. 31, стр. 32, </w:t>
      </w:r>
    </w:p>
    <w:p w:rsidR="00562C5E" w:rsidRPr="00562C5E" w:rsidRDefault="00562C5E" w:rsidP="00562C5E">
      <w:pPr>
        <w:autoSpaceDE w:val="0"/>
        <w:autoSpaceDN w:val="0"/>
        <w:adjustRightInd w:val="0"/>
        <w:spacing w:after="120"/>
        <w:ind w:firstLine="567"/>
        <w:jc w:val="both"/>
        <w:rPr>
          <w:lang w:eastAsia="en-US"/>
        </w:rPr>
      </w:pPr>
      <w:r w:rsidRPr="00562C5E">
        <w:rPr>
          <w:color w:val="000000"/>
          <w:lang w:eastAsia="en-US"/>
        </w:rPr>
        <w:t xml:space="preserve">- </w:t>
      </w:r>
      <w:r w:rsidRPr="00562C5E">
        <w:rPr>
          <w:lang w:eastAsia="en-US"/>
        </w:rPr>
        <w:t xml:space="preserve">по </w:t>
      </w:r>
      <w:r w:rsidRPr="00562C5E">
        <w:rPr>
          <w:iCs/>
          <w:lang w:eastAsia="en-US"/>
        </w:rPr>
        <w:t xml:space="preserve">Соглашению №001/0508L/13 о специальных условиях предоставления револьверной линии для осуществления документарных операций от «14» июня 2013 года, по Соглашению №001/0153L/15 о специальных условиях предоставления револьверной линии для осуществления документарных операций от «21» апреля 2015 года, заключенным между Банком и </w:t>
      </w:r>
      <w:r w:rsidRPr="00562C5E">
        <w:rPr>
          <w:b/>
          <w:lang w:eastAsia="en-US"/>
        </w:rPr>
        <w:t>Открытым акционерным обществом «Казанский завод компрессорного машиностроения»</w:t>
      </w:r>
      <w:r w:rsidRPr="00562C5E">
        <w:rPr>
          <w:lang w:eastAsia="en-US"/>
        </w:rPr>
        <w:t xml:space="preserve">, созданным и зарегистрированным в соответствии с законодательством Российской Федерации, ОГРН 1021603620114, ИНН 1660004878, адрес юридического лица: 420029, г. Казань, ул. </w:t>
      </w:r>
      <w:proofErr w:type="spellStart"/>
      <w:r w:rsidRPr="00562C5E">
        <w:rPr>
          <w:lang w:eastAsia="en-US"/>
        </w:rPr>
        <w:t>Халитова</w:t>
      </w:r>
      <w:proofErr w:type="spellEnd"/>
      <w:r w:rsidRPr="00562C5E">
        <w:rPr>
          <w:lang w:eastAsia="en-US"/>
        </w:rPr>
        <w:t xml:space="preserve">, д. 1, </w:t>
      </w:r>
    </w:p>
    <w:p w:rsidR="00562C5E" w:rsidRPr="00562C5E" w:rsidRDefault="00562C5E" w:rsidP="00562C5E">
      <w:pPr>
        <w:autoSpaceDE w:val="0"/>
        <w:autoSpaceDN w:val="0"/>
        <w:adjustRightInd w:val="0"/>
        <w:spacing w:after="120"/>
        <w:ind w:firstLine="567"/>
        <w:jc w:val="both"/>
        <w:rPr>
          <w:lang w:eastAsia="en-US"/>
        </w:rPr>
      </w:pPr>
      <w:r w:rsidRPr="00562C5E">
        <w:rPr>
          <w:lang w:eastAsia="en-US"/>
        </w:rPr>
        <w:t xml:space="preserve">- Соглашению №001/0145L/15 </w:t>
      </w:r>
      <w:r w:rsidRPr="00562C5E">
        <w:rPr>
          <w:iCs/>
          <w:lang w:eastAsia="en-US"/>
        </w:rPr>
        <w:t>о специальных условиях предоставления револьверной линии для осуществления документарных операций</w:t>
      </w:r>
      <w:r w:rsidRPr="00562C5E">
        <w:rPr>
          <w:lang w:eastAsia="en-US"/>
        </w:rPr>
        <w:t xml:space="preserve"> от «17» апреля 2015 года, заключенным между Банком и </w:t>
      </w:r>
      <w:r w:rsidRPr="00562C5E">
        <w:rPr>
          <w:b/>
          <w:color w:val="000000"/>
          <w:lang w:eastAsia="en-US"/>
        </w:rPr>
        <w:t>Акционерным обществом «ГМС Нефтемаш»</w:t>
      </w:r>
      <w:r w:rsidRPr="00562C5E">
        <w:rPr>
          <w:color w:val="000000"/>
          <w:lang w:eastAsia="en-US"/>
        </w:rPr>
        <w:t>, созданным и зарегистрированным в соответствии с законодательством Российской Федерации, ОГРН 1027200800868, ИНН 7204002810, адрес юридического лица: 625003, г. Тюмень, ул. Военная, д. 44,</w:t>
      </w:r>
      <w:r w:rsidRPr="00562C5E">
        <w:rPr>
          <w:lang w:eastAsia="en-US"/>
        </w:rPr>
        <w:t xml:space="preserve"> </w:t>
      </w:r>
    </w:p>
    <w:p w:rsidR="00562C5E" w:rsidRPr="00562C5E" w:rsidRDefault="00562C5E" w:rsidP="00562C5E">
      <w:pPr>
        <w:autoSpaceDE w:val="0"/>
        <w:autoSpaceDN w:val="0"/>
        <w:adjustRightInd w:val="0"/>
        <w:spacing w:after="120"/>
        <w:ind w:firstLine="567"/>
        <w:jc w:val="both"/>
        <w:rPr>
          <w:b/>
          <w:color w:val="000000"/>
          <w:lang w:eastAsia="en-US"/>
        </w:rPr>
      </w:pPr>
      <w:r w:rsidRPr="00562C5E">
        <w:rPr>
          <w:b/>
          <w:lang w:eastAsia="en-US"/>
        </w:rPr>
        <w:t>не может превышать 5 600 000 000,00 (Пять миллиардов шестьсот миллионов) рублей РФ</w:t>
      </w:r>
      <w:r w:rsidRPr="00562C5E">
        <w:rPr>
          <w:b/>
          <w:color w:val="000000"/>
          <w:lang w:eastAsia="en-US"/>
        </w:rPr>
        <w:t xml:space="preserve"> (далее – «Лимит Использования»). </w:t>
      </w:r>
    </w:p>
    <w:p w:rsidR="00562C5E" w:rsidRPr="00562C5E" w:rsidRDefault="00562C5E" w:rsidP="00562C5E">
      <w:pPr>
        <w:autoSpaceDE w:val="0"/>
        <w:autoSpaceDN w:val="0"/>
        <w:adjustRightInd w:val="0"/>
        <w:spacing w:after="120"/>
        <w:ind w:firstLine="567"/>
        <w:jc w:val="both"/>
        <w:rPr>
          <w:color w:val="000000"/>
          <w:lang w:eastAsia="en-US"/>
        </w:rPr>
      </w:pPr>
      <w:r w:rsidRPr="00562C5E">
        <w:rPr>
          <w:color w:val="000000"/>
          <w:lang w:eastAsia="en-US"/>
        </w:rPr>
        <w:lastRenderedPageBreak/>
        <w:t>Для пересчета в валюту Лимита Использования сумм Использования в других валютах используется курс/кросс-курс Банка России на дату Использования по соответствующему Соглашению.</w:t>
      </w:r>
    </w:p>
    <w:p w:rsidR="00562C5E" w:rsidRPr="00562C5E" w:rsidRDefault="00562C5E" w:rsidP="00562C5E">
      <w:pPr>
        <w:ind w:right="26" w:firstLine="567"/>
        <w:jc w:val="both"/>
        <w:rPr>
          <w:color w:val="000000"/>
          <w:lang w:eastAsia="en-US"/>
        </w:rPr>
      </w:pPr>
      <w:r w:rsidRPr="00562C5E">
        <w:rPr>
          <w:color w:val="000000"/>
          <w:lang w:eastAsia="en-US"/>
        </w:rPr>
        <w:t>Под кросс-курсом Банка России понимается отношение курса одной иностранной валюты к курсу другой иностранной валюты, рассчитанное по установленным Банком России официальным курсам этих валют по отношению к рублю.</w:t>
      </w:r>
    </w:p>
    <w:p w:rsidR="00562C5E" w:rsidRPr="00562C5E" w:rsidRDefault="00562C5E" w:rsidP="00562C5E">
      <w:pPr>
        <w:ind w:right="26" w:firstLine="567"/>
        <w:jc w:val="both"/>
        <w:rPr>
          <w:lang w:eastAsia="en-US"/>
        </w:rPr>
      </w:pPr>
      <w:r w:rsidRPr="00562C5E">
        <w:rPr>
          <w:lang w:eastAsia="en-US"/>
        </w:rPr>
        <w:t>Комиссия за организацию Линии в размере 0,5% (Ноль целых пять десятых процентов) от суммы Лимита Линии подлежит уплате Клиентом в рублях независимо от того, осуществлялись ли операции в рамках Линии или нет, единовременно, в течение 5 (Пять) рабочих дней с даты подписания Соглашения.</w:t>
      </w:r>
    </w:p>
    <w:p w:rsidR="00562C5E" w:rsidRPr="00562C5E" w:rsidRDefault="00562C5E" w:rsidP="00562C5E">
      <w:pPr>
        <w:spacing w:line="240" w:lineRule="atLeast"/>
        <w:ind w:firstLine="567"/>
        <w:jc w:val="both"/>
        <w:rPr>
          <w:lang w:eastAsia="en-US"/>
        </w:rPr>
      </w:pPr>
      <w:r w:rsidRPr="00562C5E">
        <w:rPr>
          <w:lang w:eastAsia="en-US"/>
        </w:rPr>
        <w:t>Клиент уплатит Банку комиссию за выдачу, увеличение суммы, продление срока действия гарантии в размере, установленном Сторонами в соответствующем Поручении в порядке, определенном подпунктом 5.2.5 пункта 5.2 Статьи 5 Соглашения, но</w:t>
      </w:r>
      <w:r w:rsidRPr="00562C5E" w:rsidDel="006D130B">
        <w:rPr>
          <w:lang w:eastAsia="en-US"/>
        </w:rPr>
        <w:t xml:space="preserve"> </w:t>
      </w:r>
      <w:r w:rsidRPr="00562C5E">
        <w:rPr>
          <w:lang w:eastAsia="en-US"/>
        </w:rPr>
        <w:t xml:space="preserve">не более 3% (Трех процентов) годовых, начисляемую на сумму гарантии, сумму увеличения суммы гарантии, но не менее 200,00 (Двести) Долларов США или эквивалента этой суммы в другой валюте по курсу Банка России на дату платежа, за каждый период, состоящий из 90 (Девяносто) последовательных календарных дней («Комиссионный период») или его часть (для последнего Комиссионного периода). Первый Комиссионный период начинается в дату выдачи гарантии. Последний Комиссионный период заканчивается в дату окончания срока действия гарантии (в том числе с учетом продления срока действия гарантии) или в дату последнего платежа по гарантии (в зависимости от того, какая из дат наступит ранее). </w:t>
      </w:r>
    </w:p>
    <w:p w:rsidR="00562C5E" w:rsidRPr="00562C5E" w:rsidRDefault="00562C5E" w:rsidP="00562C5E">
      <w:pPr>
        <w:ind w:right="26" w:firstLine="567"/>
        <w:jc w:val="both"/>
        <w:rPr>
          <w:lang w:eastAsia="en-US"/>
        </w:rPr>
      </w:pPr>
      <w:r w:rsidRPr="00562C5E">
        <w:rPr>
          <w:lang w:eastAsia="en-US"/>
        </w:rPr>
        <w:t>Прочие комиссии Банка взимаются в соответствии с «Тарифом комиссионного вознаграждения за выполнение АО «</w:t>
      </w:r>
      <w:proofErr w:type="spellStart"/>
      <w:r w:rsidRPr="00562C5E">
        <w:rPr>
          <w:lang w:eastAsia="en-US"/>
        </w:rPr>
        <w:t>ЮниКредит</w:t>
      </w:r>
      <w:proofErr w:type="spellEnd"/>
      <w:r w:rsidRPr="00562C5E">
        <w:rPr>
          <w:lang w:eastAsia="en-US"/>
        </w:rPr>
        <w:t xml:space="preserve"> Банк» поручений клиентов – юридических лиц и индивидуальных предпринимателей» в редакции, действующей на дату начисления комиссии.</w:t>
      </w:r>
    </w:p>
    <w:p w:rsidR="00562C5E" w:rsidRPr="00562C5E" w:rsidRDefault="00562C5E" w:rsidP="00562C5E">
      <w:pPr>
        <w:ind w:right="26" w:firstLine="567"/>
        <w:jc w:val="both"/>
        <w:rPr>
          <w:lang w:eastAsia="en-US"/>
        </w:rPr>
      </w:pPr>
      <w:r w:rsidRPr="00562C5E">
        <w:rPr>
          <w:lang w:eastAsia="en-US"/>
        </w:rPr>
        <w:t>Клиент обязуется возместить Банку любую сумму, которую Банк выплатит по любой из гарантий, выданных в рамках Линии, в дату соответствующего платежа по любой из гарантий, оплатить в полном объеме и без каких-либо удержаний все комиссии Банка в предусмотренные Соглашением даты и возместить расходы, связанные с выдачей гарантий и их исполнением.</w:t>
      </w:r>
    </w:p>
    <w:p w:rsidR="00562C5E" w:rsidRPr="00562C5E" w:rsidRDefault="00562C5E" w:rsidP="00562C5E">
      <w:pPr>
        <w:ind w:right="26" w:firstLine="567"/>
        <w:jc w:val="both"/>
        <w:rPr>
          <w:lang w:eastAsia="en-US"/>
        </w:rPr>
      </w:pPr>
      <w:r w:rsidRPr="00562C5E">
        <w:rPr>
          <w:lang w:eastAsia="en-US"/>
        </w:rPr>
        <w:t>Неустойка в размере 10% (Десять процентов) годовых – за нарушение обязательств в Долларах США и Евро, увеличенной в 2 (Два) раза ставки рефинансирования Банка России, действующей на дату платежа по гарантии / дату, установленную для уплаты комиссии – за нарушение обязательства в Рублях,  начисляется на сумму задолженности по возмещению Банку суммы платежа по гарантии / сумму задолженности по уплате Банку комиссий,  с даты, следующей за датой платежа по гарантии / датой, установленной для уплаты комиссий, по дату предоставления Клиентом Банку соответствующего возмещения / дату уплаты комиссий включительно.</w:t>
      </w:r>
    </w:p>
    <w:p w:rsidR="00562C5E" w:rsidRPr="00562C5E" w:rsidRDefault="00562C5E" w:rsidP="00562C5E">
      <w:pPr>
        <w:spacing w:line="276" w:lineRule="auto"/>
        <w:ind w:firstLine="567"/>
        <w:jc w:val="both"/>
        <w:rPr>
          <w:lang w:eastAsia="en-US"/>
        </w:rPr>
      </w:pPr>
      <w:r w:rsidRPr="00562C5E">
        <w:rPr>
          <w:lang w:eastAsia="en-US"/>
        </w:rPr>
        <w:t>За каждый случай предоставления ложного, неверного, неточного Заверения об обстоятельствах, за исключением случаев, когда предоставление такого Заверения об обстоятельствах привело к неисполнению/невозможности исполнения Соглашения, признанию Соглашения недействительным и/или незаключенным, Банк имеет право взимать с Клиента неустойку в размере 0,1% (Ноль целых одна десятая процентов) от суммы Использования Линии.</w:t>
      </w:r>
    </w:p>
    <w:p w:rsidR="00562C5E" w:rsidRPr="00562C5E" w:rsidRDefault="00562C5E" w:rsidP="00562C5E">
      <w:pPr>
        <w:spacing w:line="276" w:lineRule="auto"/>
        <w:jc w:val="both"/>
        <w:rPr>
          <w:b/>
          <w:lang w:eastAsia="en-US"/>
        </w:rPr>
      </w:pPr>
    </w:p>
    <w:p w:rsidR="00562C5E" w:rsidRPr="00562C5E" w:rsidRDefault="00562C5E" w:rsidP="00562C5E">
      <w:pPr>
        <w:spacing w:line="276" w:lineRule="auto"/>
        <w:jc w:val="both"/>
        <w:rPr>
          <w:u w:val="single"/>
          <w:lang w:eastAsia="en-US"/>
        </w:rPr>
      </w:pPr>
      <w:r w:rsidRPr="00562C5E">
        <w:rPr>
          <w:lang w:eastAsia="en-US"/>
        </w:rPr>
        <w:t xml:space="preserve">2. </w:t>
      </w:r>
      <w:r w:rsidRPr="00562C5E">
        <w:rPr>
          <w:u w:val="single"/>
          <w:lang w:eastAsia="en-US"/>
        </w:rPr>
        <w:t>Существенные условия Договора поручительства (сделки):</w:t>
      </w:r>
    </w:p>
    <w:p w:rsidR="00562C5E" w:rsidRPr="00562C5E" w:rsidRDefault="00562C5E" w:rsidP="00562C5E">
      <w:pPr>
        <w:spacing w:line="276" w:lineRule="auto"/>
        <w:ind w:firstLine="567"/>
        <w:jc w:val="both"/>
        <w:rPr>
          <w:lang w:eastAsia="en-US"/>
        </w:rPr>
      </w:pPr>
      <w:r w:rsidRPr="00562C5E">
        <w:rPr>
          <w:lang w:eastAsia="en-US"/>
        </w:rPr>
        <w:t>Обеспечиваемое обязательство – обязательства Клиента по Соглашению, заключенному между Банком и Клиентом на существенных условиях, изложенных выше.</w:t>
      </w:r>
    </w:p>
    <w:p w:rsidR="00562C5E" w:rsidRPr="00562C5E" w:rsidRDefault="00562C5E" w:rsidP="00562C5E">
      <w:pPr>
        <w:spacing w:line="276" w:lineRule="auto"/>
        <w:ind w:firstLine="567"/>
        <w:jc w:val="both"/>
        <w:rPr>
          <w:lang w:eastAsia="en-US"/>
        </w:rPr>
      </w:pPr>
      <w:r w:rsidRPr="00562C5E">
        <w:rPr>
          <w:lang w:eastAsia="en-US"/>
        </w:rPr>
        <w:t xml:space="preserve">В соответствии с Договором поручительства Поручитель </w:t>
      </w:r>
      <w:proofErr w:type="spellStart"/>
      <w:r w:rsidRPr="00562C5E">
        <w:rPr>
          <w:lang w:eastAsia="en-US"/>
        </w:rPr>
        <w:t>безотзывно</w:t>
      </w:r>
      <w:proofErr w:type="spellEnd"/>
      <w:r w:rsidRPr="00562C5E">
        <w:rPr>
          <w:lang w:eastAsia="en-US"/>
        </w:rPr>
        <w:t xml:space="preserve"> обязуется, солидарно с Клиентом, отвечать в том же объеме, что и Клиент, и выплачивать Банку по </w:t>
      </w:r>
      <w:r w:rsidRPr="00562C5E">
        <w:rPr>
          <w:lang w:eastAsia="en-US"/>
        </w:rPr>
        <w:lastRenderedPageBreak/>
        <w:t xml:space="preserve">его первому требованию любые суммы, которые причитаются к уплате Банку Клиентом (с учетом указанных </w:t>
      </w:r>
      <w:proofErr w:type="gramStart"/>
      <w:r w:rsidRPr="00562C5E">
        <w:rPr>
          <w:lang w:eastAsia="en-US"/>
        </w:rPr>
        <w:t>ниже  пределов</w:t>
      </w:r>
      <w:proofErr w:type="gramEnd"/>
      <w:r w:rsidRPr="00562C5E">
        <w:rPr>
          <w:lang w:eastAsia="en-US"/>
        </w:rPr>
        <w:t xml:space="preserve"> изменения условий Соглашения), в случае если Клиент не произведет какой-либо платеж в погашение задолженности в соответствии с условиями Соглашения.</w:t>
      </w:r>
    </w:p>
    <w:p w:rsidR="00562C5E" w:rsidRPr="00562C5E" w:rsidRDefault="00562C5E" w:rsidP="00562C5E">
      <w:pPr>
        <w:spacing w:line="276" w:lineRule="auto"/>
        <w:ind w:firstLine="567"/>
        <w:jc w:val="both"/>
        <w:rPr>
          <w:lang w:eastAsia="en-US"/>
        </w:rPr>
      </w:pPr>
      <w:r w:rsidRPr="00562C5E">
        <w:rPr>
          <w:lang w:eastAsia="en-US"/>
        </w:rPr>
        <w:t>Под «задолженностью» понимаются расходы Банка, связанные с осуществлением Банком платежей по гарантиям/аккредитивам, выданным/открытым в рамках Линии, не возмещенные Клиентом в соответствии с условиями Соглашения, комиссии, неустойка, расходы и другие суммы, подлежащие уплате Клиентом в соответствии с условиями Соглашения.</w:t>
      </w:r>
    </w:p>
    <w:p w:rsidR="00562C5E" w:rsidRPr="00562C5E" w:rsidRDefault="00562C5E" w:rsidP="00562C5E">
      <w:pPr>
        <w:spacing w:line="276" w:lineRule="auto"/>
        <w:ind w:firstLine="567"/>
        <w:jc w:val="both"/>
        <w:rPr>
          <w:lang w:eastAsia="en-US"/>
        </w:rPr>
      </w:pPr>
      <w:r w:rsidRPr="00562C5E">
        <w:rPr>
          <w:lang w:eastAsia="en-US"/>
        </w:rPr>
        <w:t>Предел ответственности Поручителя по Договору поручительства составляет сумму Лимита Линии, комиссий, неустойки, расходы и другие суммы, причитающиеся Банку по Соглашению (с учетом указанных ниже пределов изменения условий Соглашения), возможные издержки, связанные с его принудительным исполнением, а также сумму требований о возврате полученного по Соглашению при его недействительности или о возврате неосновательного обогащения при признании Соглашения незаключенным с процентами за пользование чужими денежными средствами.</w:t>
      </w:r>
    </w:p>
    <w:p w:rsidR="00562C5E" w:rsidRPr="00562C5E" w:rsidRDefault="00562C5E" w:rsidP="00562C5E">
      <w:pPr>
        <w:spacing w:line="276" w:lineRule="auto"/>
        <w:ind w:firstLine="567"/>
        <w:jc w:val="both"/>
        <w:rPr>
          <w:b/>
          <w:lang w:eastAsia="en-US"/>
        </w:rPr>
      </w:pPr>
      <w:r w:rsidRPr="00562C5E">
        <w:rPr>
          <w:b/>
          <w:lang w:eastAsia="en-US"/>
        </w:rPr>
        <w:t>Выгодоприобретателем по Договору поручительства является Клиент.</w:t>
      </w:r>
    </w:p>
    <w:p w:rsidR="00562C5E" w:rsidRPr="00562C5E" w:rsidRDefault="00562C5E" w:rsidP="00562C5E">
      <w:pPr>
        <w:spacing w:line="276" w:lineRule="auto"/>
        <w:ind w:firstLine="567"/>
        <w:jc w:val="both"/>
        <w:rPr>
          <w:lang w:eastAsia="en-US"/>
        </w:rPr>
      </w:pPr>
      <w:r w:rsidRPr="00562C5E">
        <w:rPr>
          <w:lang w:eastAsia="en-US"/>
        </w:rPr>
        <w:t>В случае перевода долга по Соглашению на иное лицо, входящее в одну Группу с Клиентом, Поручитель настоящим дает свое согласие отвечать за надлежащее исполнение обязательств по Соглашению новым должником на условиях Договора поручительства без получения какого – либо дополнительного письменного согласия Поручителя.</w:t>
      </w:r>
    </w:p>
    <w:p w:rsidR="00562C5E" w:rsidRPr="00562C5E" w:rsidRDefault="00562C5E" w:rsidP="00562C5E">
      <w:pPr>
        <w:spacing w:line="276" w:lineRule="auto"/>
        <w:ind w:firstLine="567"/>
        <w:jc w:val="both"/>
        <w:rPr>
          <w:lang w:eastAsia="en-US"/>
        </w:rPr>
      </w:pPr>
      <w:r w:rsidRPr="00562C5E">
        <w:rPr>
          <w:lang w:eastAsia="en-US"/>
        </w:rPr>
        <w:t xml:space="preserve">Под Группой  понимаются HMS </w:t>
      </w:r>
      <w:proofErr w:type="spellStart"/>
      <w:r w:rsidRPr="00562C5E">
        <w:rPr>
          <w:lang w:eastAsia="en-US"/>
        </w:rPr>
        <w:t>Hydraulic</w:t>
      </w:r>
      <w:proofErr w:type="spellEnd"/>
      <w:r w:rsidRPr="00562C5E">
        <w:rPr>
          <w:lang w:eastAsia="en-US"/>
        </w:rPr>
        <w:t xml:space="preserve"> </w:t>
      </w:r>
      <w:proofErr w:type="spellStart"/>
      <w:r w:rsidRPr="00562C5E">
        <w:rPr>
          <w:lang w:eastAsia="en-US"/>
        </w:rPr>
        <w:t>Machines</w:t>
      </w:r>
      <w:proofErr w:type="spellEnd"/>
      <w:r w:rsidRPr="00562C5E">
        <w:rPr>
          <w:lang w:eastAsia="en-US"/>
        </w:rPr>
        <w:t xml:space="preserve"> &amp; </w:t>
      </w:r>
      <w:proofErr w:type="spellStart"/>
      <w:r w:rsidRPr="00562C5E">
        <w:rPr>
          <w:lang w:eastAsia="en-US"/>
        </w:rPr>
        <w:t>Systems</w:t>
      </w:r>
      <w:proofErr w:type="spellEnd"/>
      <w:r w:rsidRPr="00562C5E">
        <w:rPr>
          <w:lang w:eastAsia="en-US"/>
        </w:rPr>
        <w:t xml:space="preserve"> </w:t>
      </w:r>
      <w:proofErr w:type="spellStart"/>
      <w:r w:rsidRPr="00562C5E">
        <w:rPr>
          <w:lang w:eastAsia="en-US"/>
        </w:rPr>
        <w:t>Group</w:t>
      </w:r>
      <w:proofErr w:type="spellEnd"/>
      <w:r w:rsidRPr="00562C5E">
        <w:rPr>
          <w:lang w:eastAsia="en-US"/>
        </w:rPr>
        <w:t xml:space="preserve"> </w:t>
      </w:r>
      <w:proofErr w:type="spellStart"/>
      <w:r w:rsidRPr="00562C5E">
        <w:rPr>
          <w:lang w:eastAsia="en-US"/>
        </w:rPr>
        <w:t>Plc</w:t>
      </w:r>
      <w:proofErr w:type="spellEnd"/>
      <w:r w:rsidRPr="00562C5E">
        <w:rPr>
          <w:lang w:eastAsia="en-US"/>
        </w:rPr>
        <w:t xml:space="preserve">, созданное и зарегистрированное в соответствии с законодательством  Республики Кипр, Регистрационный номер: HE266578, с местонахождением по адресу: 3032, Кипр, </w:t>
      </w:r>
      <w:proofErr w:type="spellStart"/>
      <w:r w:rsidRPr="00562C5E">
        <w:rPr>
          <w:lang w:eastAsia="en-US"/>
        </w:rPr>
        <w:t>Лимассол</w:t>
      </w:r>
      <w:proofErr w:type="spellEnd"/>
      <w:r w:rsidRPr="00562C5E">
        <w:rPr>
          <w:lang w:eastAsia="en-US"/>
        </w:rPr>
        <w:t xml:space="preserve">, </w:t>
      </w:r>
      <w:proofErr w:type="spellStart"/>
      <w:r w:rsidRPr="00562C5E">
        <w:rPr>
          <w:lang w:eastAsia="en-US"/>
        </w:rPr>
        <w:t>Караискаки</w:t>
      </w:r>
      <w:proofErr w:type="spellEnd"/>
      <w:r w:rsidRPr="00562C5E">
        <w:rPr>
          <w:lang w:eastAsia="en-US"/>
        </w:rPr>
        <w:t>, 13 (</w:t>
      </w:r>
      <w:proofErr w:type="spellStart"/>
      <w:r w:rsidRPr="00562C5E">
        <w:rPr>
          <w:lang w:eastAsia="en-US"/>
        </w:rPr>
        <w:t>Karaiskaki</w:t>
      </w:r>
      <w:proofErr w:type="spellEnd"/>
      <w:r w:rsidRPr="00562C5E">
        <w:rPr>
          <w:lang w:eastAsia="en-US"/>
        </w:rPr>
        <w:t xml:space="preserve">, 13, 3032, </w:t>
      </w:r>
      <w:proofErr w:type="spellStart"/>
      <w:r w:rsidRPr="00562C5E">
        <w:rPr>
          <w:lang w:eastAsia="en-US"/>
        </w:rPr>
        <w:t>Limassol</w:t>
      </w:r>
      <w:proofErr w:type="spellEnd"/>
      <w:r w:rsidRPr="00562C5E">
        <w:rPr>
          <w:lang w:eastAsia="en-US"/>
        </w:rPr>
        <w:t xml:space="preserve">, </w:t>
      </w:r>
      <w:proofErr w:type="spellStart"/>
      <w:r w:rsidRPr="00562C5E">
        <w:rPr>
          <w:lang w:eastAsia="en-US"/>
        </w:rPr>
        <w:t>Cyprus</w:t>
      </w:r>
      <w:proofErr w:type="spellEnd"/>
      <w:r w:rsidRPr="00562C5E">
        <w:rPr>
          <w:lang w:eastAsia="en-US"/>
        </w:rPr>
        <w:t xml:space="preserve">), и все его дочерние компании, в соответствии с тем, как это указано в консолидированной финансовой отчетности HMS </w:t>
      </w:r>
      <w:proofErr w:type="spellStart"/>
      <w:r w:rsidRPr="00562C5E">
        <w:rPr>
          <w:lang w:eastAsia="en-US"/>
        </w:rPr>
        <w:t>Hydraulic</w:t>
      </w:r>
      <w:proofErr w:type="spellEnd"/>
      <w:r w:rsidRPr="00562C5E">
        <w:rPr>
          <w:lang w:eastAsia="en-US"/>
        </w:rPr>
        <w:t xml:space="preserve"> </w:t>
      </w:r>
      <w:proofErr w:type="spellStart"/>
      <w:r w:rsidRPr="00562C5E">
        <w:rPr>
          <w:lang w:eastAsia="en-US"/>
        </w:rPr>
        <w:t>Machines</w:t>
      </w:r>
      <w:proofErr w:type="spellEnd"/>
      <w:r w:rsidRPr="00562C5E">
        <w:rPr>
          <w:lang w:eastAsia="en-US"/>
        </w:rPr>
        <w:t xml:space="preserve"> &amp; </w:t>
      </w:r>
      <w:proofErr w:type="spellStart"/>
      <w:r w:rsidRPr="00562C5E">
        <w:rPr>
          <w:lang w:eastAsia="en-US"/>
        </w:rPr>
        <w:t>Systems</w:t>
      </w:r>
      <w:proofErr w:type="spellEnd"/>
      <w:r w:rsidRPr="00562C5E">
        <w:rPr>
          <w:lang w:eastAsia="en-US"/>
        </w:rPr>
        <w:t xml:space="preserve"> </w:t>
      </w:r>
      <w:proofErr w:type="spellStart"/>
      <w:r w:rsidRPr="00562C5E">
        <w:rPr>
          <w:lang w:eastAsia="en-US"/>
        </w:rPr>
        <w:t>Group</w:t>
      </w:r>
      <w:proofErr w:type="spellEnd"/>
      <w:r w:rsidRPr="00562C5E">
        <w:rPr>
          <w:lang w:eastAsia="en-US"/>
        </w:rPr>
        <w:t xml:space="preserve"> </w:t>
      </w:r>
      <w:proofErr w:type="spellStart"/>
      <w:r w:rsidRPr="00562C5E">
        <w:rPr>
          <w:lang w:eastAsia="en-US"/>
        </w:rPr>
        <w:t>Plc</w:t>
      </w:r>
      <w:proofErr w:type="spellEnd"/>
      <w:r w:rsidRPr="00562C5E">
        <w:rPr>
          <w:lang w:eastAsia="en-US"/>
        </w:rPr>
        <w:t>, составленной в соответствии с МСФО (Международные стандарты финансовой отчетности) на последнюю дату составления такой отчетности.</w:t>
      </w:r>
    </w:p>
    <w:p w:rsidR="00562C5E" w:rsidRPr="00562C5E" w:rsidRDefault="00562C5E" w:rsidP="00562C5E">
      <w:pPr>
        <w:spacing w:line="276" w:lineRule="auto"/>
        <w:ind w:firstLine="567"/>
        <w:jc w:val="both"/>
        <w:rPr>
          <w:lang w:eastAsia="en-US"/>
        </w:rPr>
      </w:pPr>
      <w:r w:rsidRPr="00562C5E">
        <w:rPr>
          <w:lang w:eastAsia="en-US"/>
        </w:rPr>
        <w:t>Поручитель настоящим дает свое согласие отвечать по Договору поручительства также в случае последующего изменения Соглашения, влекущего изменение каждого из условий Соглашения по сравнению с соответствующим условием, установленным Соглашением:</w:t>
      </w:r>
    </w:p>
    <w:p w:rsidR="00562C5E" w:rsidRPr="00562C5E" w:rsidRDefault="00562C5E" w:rsidP="00562C5E">
      <w:pPr>
        <w:spacing w:line="276" w:lineRule="auto"/>
        <w:ind w:firstLine="567"/>
        <w:jc w:val="both"/>
        <w:rPr>
          <w:lang w:eastAsia="en-US"/>
        </w:rPr>
      </w:pPr>
      <w:r w:rsidRPr="00562C5E">
        <w:rPr>
          <w:lang w:eastAsia="en-US"/>
        </w:rPr>
        <w:t xml:space="preserve">- не более чем на 50 % (Пятьдесят процентов) в отношении Лимита Линии, комиссий, неустойки по Соглашению; </w:t>
      </w:r>
    </w:p>
    <w:p w:rsidR="00562C5E" w:rsidRPr="00562C5E" w:rsidRDefault="00562C5E" w:rsidP="00562C5E">
      <w:pPr>
        <w:spacing w:line="276" w:lineRule="auto"/>
        <w:ind w:firstLine="567"/>
        <w:jc w:val="both"/>
        <w:rPr>
          <w:lang w:eastAsia="en-US"/>
        </w:rPr>
      </w:pPr>
      <w:r w:rsidRPr="00562C5E">
        <w:rPr>
          <w:lang w:eastAsia="en-US"/>
        </w:rPr>
        <w:t>- не более чем в 2 (Два) раза в отношении увеличения или уменьшения Срока действия Линии.</w:t>
      </w:r>
    </w:p>
    <w:p w:rsidR="00562C5E" w:rsidRPr="00562C5E" w:rsidRDefault="00562C5E" w:rsidP="00562C5E">
      <w:pPr>
        <w:spacing w:line="276" w:lineRule="auto"/>
        <w:ind w:firstLine="567"/>
        <w:jc w:val="both"/>
        <w:rPr>
          <w:lang w:eastAsia="en-US"/>
        </w:rPr>
      </w:pPr>
      <w:r w:rsidRPr="00562C5E">
        <w:rPr>
          <w:lang w:eastAsia="en-US"/>
        </w:rPr>
        <w:t>При этом оформления какого-либо дополнительного письменного согласия Поручителя на такое изменение не требуется.</w:t>
      </w:r>
    </w:p>
    <w:p w:rsidR="00562C5E" w:rsidRPr="00562C5E" w:rsidRDefault="00562C5E" w:rsidP="00562C5E">
      <w:pPr>
        <w:spacing w:line="276" w:lineRule="auto"/>
        <w:ind w:firstLine="567"/>
        <w:jc w:val="both"/>
        <w:rPr>
          <w:lang w:eastAsia="en-US"/>
        </w:rPr>
      </w:pPr>
      <w:r w:rsidRPr="00562C5E">
        <w:rPr>
          <w:lang w:eastAsia="en-US"/>
        </w:rPr>
        <w:t>Договор поручительства действует в течение срока, оканчивающегося через три года с даты окончания Срока действия Линии (с учетом указанных выше пределов изменения условий Соглашения).</w:t>
      </w:r>
    </w:p>
    <w:p w:rsidR="00562C5E" w:rsidRPr="00562C5E" w:rsidRDefault="00562C5E" w:rsidP="00562C5E">
      <w:pPr>
        <w:spacing w:line="276" w:lineRule="auto"/>
        <w:ind w:firstLine="567"/>
        <w:jc w:val="both"/>
        <w:rPr>
          <w:lang w:eastAsia="en-US"/>
        </w:rPr>
      </w:pPr>
      <w:r w:rsidRPr="00562C5E">
        <w:rPr>
          <w:lang w:eastAsia="en-US"/>
        </w:rPr>
        <w:t xml:space="preserve">Заключение, прекращение или изменение договоров, обеспечивающих Соглашение, не прекращает Договор поручительства и не освобождает Поручителя от ответственности, </w:t>
      </w:r>
      <w:r w:rsidRPr="00562C5E">
        <w:rPr>
          <w:lang w:eastAsia="en-US"/>
        </w:rPr>
        <w:lastRenderedPageBreak/>
        <w:t>в том числе в той мере, в какой оно могло потребовать возмещение за счет утраченного обеспечения.</w:t>
      </w:r>
    </w:p>
    <w:p w:rsidR="00562C5E" w:rsidRPr="00562C5E" w:rsidRDefault="00562C5E" w:rsidP="00562C5E">
      <w:pPr>
        <w:spacing w:line="276" w:lineRule="auto"/>
        <w:ind w:firstLine="567"/>
        <w:jc w:val="both"/>
        <w:rPr>
          <w:lang w:eastAsia="en-US"/>
        </w:rPr>
      </w:pPr>
      <w:r w:rsidRPr="00562C5E">
        <w:rPr>
          <w:lang w:eastAsia="en-US"/>
        </w:rPr>
        <w:t>Остальные условия данной сделки определяются по усмотрению единоличного исполнительного органа Поручителя или иного уполномоченного лица.</w:t>
      </w:r>
    </w:p>
    <w:p w:rsidR="00562C5E" w:rsidRPr="00562C5E" w:rsidRDefault="00562C5E" w:rsidP="00562C5E">
      <w:pPr>
        <w:tabs>
          <w:tab w:val="left" w:pos="993"/>
        </w:tabs>
        <w:jc w:val="both"/>
        <w:rPr>
          <w:lang w:eastAsia="en-US"/>
        </w:rPr>
      </w:pPr>
    </w:p>
    <w:p w:rsidR="00562C5E" w:rsidRPr="00562C5E" w:rsidRDefault="00562C5E" w:rsidP="00562C5E">
      <w:pPr>
        <w:jc w:val="both"/>
      </w:pPr>
      <w:r w:rsidRPr="00562C5E">
        <w:rPr>
          <w:u w:val="single"/>
        </w:rPr>
        <w:t>Цена сделки:</w:t>
      </w:r>
      <w:r w:rsidRPr="00562C5E">
        <w:t xml:space="preserve"> определена из расчета </w:t>
      </w:r>
      <w:r w:rsidRPr="00562C5E">
        <w:rPr>
          <w:lang w:eastAsia="en-US"/>
        </w:rPr>
        <w:t>Совокупной Суммы Использования Линии по Соглашению</w:t>
      </w:r>
      <w:r w:rsidRPr="00562C5E">
        <w:rPr>
          <w:b/>
        </w:rPr>
        <w:t xml:space="preserve"> </w:t>
      </w:r>
      <w:r w:rsidRPr="00562C5E">
        <w:t xml:space="preserve">в размере </w:t>
      </w:r>
      <w:r w:rsidRPr="00562C5E">
        <w:rPr>
          <w:lang w:eastAsia="en-US"/>
        </w:rPr>
        <w:t>5 600 000 000 (Пять миллиардов шестьсот миллионов) рублей 00 копеек</w:t>
      </w:r>
      <w:r w:rsidRPr="00562C5E">
        <w:t>, что составляет 133,68% от балансовой стоимости активов Поручителя по состоянию на 31.12.2017г.</w:t>
      </w:r>
    </w:p>
    <w:p w:rsidR="00562C5E" w:rsidRPr="00562C5E" w:rsidRDefault="00562C5E" w:rsidP="00562C5E">
      <w:pPr>
        <w:jc w:val="both"/>
        <w:rPr>
          <w:u w:val="single"/>
        </w:rPr>
      </w:pPr>
    </w:p>
    <w:p w:rsidR="00562C5E" w:rsidRPr="00562C5E" w:rsidRDefault="00562C5E" w:rsidP="00562C5E">
      <w:pPr>
        <w:ind w:right="-5"/>
        <w:jc w:val="both"/>
        <w:rPr>
          <w:i/>
        </w:rPr>
      </w:pPr>
      <w:r w:rsidRPr="00562C5E">
        <w:rPr>
          <w:i/>
        </w:rPr>
        <w:t xml:space="preserve">Согласно п.6 ст.83 Федерального закона </w:t>
      </w:r>
      <w:r w:rsidRPr="00562C5E">
        <w:rPr>
          <w:i/>
          <w:iCs/>
        </w:rPr>
        <w:t>от 26.12.1995 N 208-ФЗ «Об акционерных обществах» указываются сведения о з</w:t>
      </w:r>
      <w:r w:rsidRPr="00562C5E">
        <w:rPr>
          <w:i/>
        </w:rPr>
        <w:t>аинтересованных в совершении сделки лицах и основаниях заинтересованности таких лиц:</w:t>
      </w:r>
    </w:p>
    <w:p w:rsidR="00562C5E" w:rsidRPr="00562C5E" w:rsidRDefault="00562C5E" w:rsidP="00562C5E">
      <w:pPr>
        <w:jc w:val="both"/>
      </w:pPr>
      <w:r>
        <w:t xml:space="preserve">1). </w:t>
      </w:r>
      <w:r w:rsidRPr="00562C5E">
        <w:t xml:space="preserve">косвенно контролирующее лицо Общества - АО «Группа ГМС» (является контролирующим лицом </w:t>
      </w:r>
      <w:r w:rsidRPr="00562C5E">
        <w:rPr>
          <w:lang w:eastAsia="en-US"/>
        </w:rPr>
        <w:t>ПАО «</w:t>
      </w:r>
      <w:proofErr w:type="spellStart"/>
      <w:r w:rsidRPr="00562C5E">
        <w:rPr>
          <w:lang w:eastAsia="en-US"/>
        </w:rPr>
        <w:t>Томскгазстрой</w:t>
      </w:r>
      <w:proofErr w:type="spellEnd"/>
      <w:r w:rsidRPr="00562C5E">
        <w:rPr>
          <w:lang w:eastAsia="en-US"/>
        </w:rPr>
        <w:t xml:space="preserve">» </w:t>
      </w:r>
      <w:r w:rsidRPr="00562C5E">
        <w:t>- выгодоприобретателя по сделке);</w:t>
      </w:r>
    </w:p>
    <w:p w:rsidR="00562C5E" w:rsidRPr="00562C5E" w:rsidRDefault="00562C5E" w:rsidP="00562C5E">
      <w:pPr>
        <w:jc w:val="both"/>
      </w:pPr>
      <w:r>
        <w:t xml:space="preserve">2). </w:t>
      </w:r>
      <w:r w:rsidRPr="00562C5E">
        <w:t xml:space="preserve">косвенно контролирующее лицо Общества - HMS HYDRAULIC MACHINES &amp; SYSTEMS GROUP PLC (является косвенно контролирующим лицом </w:t>
      </w:r>
      <w:r w:rsidRPr="00562C5E">
        <w:rPr>
          <w:lang w:eastAsia="en-US"/>
        </w:rPr>
        <w:t>ПАО «</w:t>
      </w:r>
      <w:proofErr w:type="spellStart"/>
      <w:r w:rsidRPr="00562C5E">
        <w:rPr>
          <w:lang w:eastAsia="en-US"/>
        </w:rPr>
        <w:t>Томскгазстрой</w:t>
      </w:r>
      <w:proofErr w:type="spellEnd"/>
      <w:r w:rsidRPr="00562C5E">
        <w:rPr>
          <w:lang w:eastAsia="en-US"/>
        </w:rPr>
        <w:t xml:space="preserve">» </w:t>
      </w:r>
      <w:r w:rsidRPr="00562C5E">
        <w:t>- выгодоприобретателя по сделке);</w:t>
      </w:r>
    </w:p>
    <w:p w:rsidR="00562C5E" w:rsidRPr="00562C5E" w:rsidRDefault="00562C5E" w:rsidP="00562C5E">
      <w:pPr>
        <w:jc w:val="both"/>
      </w:pPr>
      <w:r>
        <w:t xml:space="preserve">3). </w:t>
      </w:r>
      <w:r w:rsidRPr="00562C5E">
        <w:t xml:space="preserve">член совета директоров Общества </w:t>
      </w:r>
      <w:proofErr w:type="spellStart"/>
      <w:r w:rsidRPr="00562C5E">
        <w:t>Скрынник</w:t>
      </w:r>
      <w:proofErr w:type="spellEnd"/>
      <w:r w:rsidRPr="00562C5E">
        <w:t xml:space="preserve"> Юрий Николаевич (является членом совета директоров </w:t>
      </w:r>
      <w:r w:rsidRPr="00562C5E">
        <w:rPr>
          <w:lang w:eastAsia="en-US"/>
        </w:rPr>
        <w:t>ПАО «</w:t>
      </w:r>
      <w:proofErr w:type="spellStart"/>
      <w:r w:rsidRPr="00562C5E">
        <w:rPr>
          <w:lang w:eastAsia="en-US"/>
        </w:rPr>
        <w:t>Томскгазстрой</w:t>
      </w:r>
      <w:proofErr w:type="spellEnd"/>
      <w:r w:rsidRPr="00562C5E">
        <w:rPr>
          <w:lang w:eastAsia="en-US"/>
        </w:rPr>
        <w:t xml:space="preserve">» </w:t>
      </w:r>
      <w:r w:rsidRPr="00562C5E">
        <w:t>- выгодоприобретателя по сделке);</w:t>
      </w:r>
    </w:p>
    <w:p w:rsidR="00562C5E" w:rsidRPr="00562C5E" w:rsidRDefault="00562C5E" w:rsidP="00562C5E">
      <w:pPr>
        <w:jc w:val="both"/>
      </w:pPr>
      <w:r>
        <w:t xml:space="preserve">4). </w:t>
      </w:r>
      <w:r w:rsidRPr="00562C5E">
        <w:t xml:space="preserve">управляющая организация Общества - ООО «УК «Группа ГМС» (является также управляющей организацией </w:t>
      </w:r>
      <w:r w:rsidRPr="00562C5E">
        <w:rPr>
          <w:lang w:eastAsia="en-US"/>
        </w:rPr>
        <w:t>ПАО «</w:t>
      </w:r>
      <w:proofErr w:type="spellStart"/>
      <w:r w:rsidRPr="00562C5E">
        <w:rPr>
          <w:lang w:eastAsia="en-US"/>
        </w:rPr>
        <w:t>Томскгазстрой</w:t>
      </w:r>
      <w:proofErr w:type="spellEnd"/>
      <w:r w:rsidRPr="00562C5E">
        <w:rPr>
          <w:lang w:eastAsia="en-US"/>
        </w:rPr>
        <w:t xml:space="preserve">» </w:t>
      </w:r>
      <w:r w:rsidRPr="00562C5E">
        <w:t>- выгодоприобретателя по сделке).</w:t>
      </w:r>
    </w:p>
    <w:p w:rsidR="004146C5" w:rsidRDefault="004146C5" w:rsidP="00055939">
      <w:pPr>
        <w:overflowPunct w:val="0"/>
        <w:autoSpaceDE w:val="0"/>
        <w:autoSpaceDN w:val="0"/>
        <w:adjustRightInd w:val="0"/>
        <w:spacing w:before="120"/>
        <w:jc w:val="both"/>
        <w:rPr>
          <w:b/>
        </w:rPr>
      </w:pPr>
    </w:p>
    <w:p w:rsidR="007116E6" w:rsidRPr="00C259A4" w:rsidRDefault="007116E6" w:rsidP="007116E6">
      <w:pPr>
        <w:jc w:val="both"/>
        <w:rPr>
          <w:b/>
          <w:caps/>
        </w:rPr>
      </w:pPr>
      <w:r>
        <w:rPr>
          <w:b/>
          <w:caps/>
        </w:rPr>
        <w:t>По вопросу № 2</w:t>
      </w:r>
      <w:r w:rsidRPr="00C259A4">
        <w:rPr>
          <w:b/>
          <w:caps/>
        </w:rPr>
        <w:t xml:space="preserve">: </w:t>
      </w:r>
    </w:p>
    <w:p w:rsidR="001F0B97" w:rsidRPr="001F0B97" w:rsidRDefault="001F0B97" w:rsidP="001F0B97">
      <w:pPr>
        <w:tabs>
          <w:tab w:val="left" w:pos="993"/>
        </w:tabs>
        <w:jc w:val="both"/>
        <w:rPr>
          <w:lang w:eastAsia="en-US"/>
        </w:rPr>
      </w:pPr>
      <w:r w:rsidRPr="001F0B97">
        <w:t xml:space="preserve">О последующем одобрении крупной сделки Общества с </w:t>
      </w:r>
      <w:r w:rsidRPr="001F0B97">
        <w:rPr>
          <w:lang w:eastAsia="en-US"/>
        </w:rPr>
        <w:t>АО «</w:t>
      </w:r>
      <w:proofErr w:type="spellStart"/>
      <w:r w:rsidRPr="001F0B97">
        <w:rPr>
          <w:lang w:eastAsia="en-US"/>
        </w:rPr>
        <w:t>ЮниКредит</w:t>
      </w:r>
      <w:proofErr w:type="spellEnd"/>
      <w:r w:rsidRPr="001F0B97">
        <w:rPr>
          <w:lang w:eastAsia="en-US"/>
        </w:rPr>
        <w:t xml:space="preserve"> Банк»</w:t>
      </w:r>
      <w:r w:rsidRPr="001F0B97">
        <w:t xml:space="preserve">, в совершении которой имеется заинтересованность - </w:t>
      </w:r>
      <w:r w:rsidRPr="001F0B97">
        <w:rPr>
          <w:lang w:eastAsia="en-US"/>
        </w:rPr>
        <w:t xml:space="preserve">договора поручительства в обеспечение исполнения обязательств </w:t>
      </w:r>
      <w:r w:rsidRPr="001F0B97">
        <w:t>АО «ГМС Нефтемаш» по Соглашению №001/0145L/15 о специальных условиях предоставления револьверной линии для осуществления документарных операций от «17» апреля 2015г., заключенного между АО «ГМС Нефтемаш» и АО «</w:t>
      </w:r>
      <w:proofErr w:type="spellStart"/>
      <w:r w:rsidRPr="001F0B97">
        <w:t>ЮниКредит</w:t>
      </w:r>
      <w:proofErr w:type="spellEnd"/>
      <w:r w:rsidRPr="001F0B97">
        <w:t xml:space="preserve"> Банк»</w:t>
      </w:r>
      <w:r w:rsidRPr="001F0B97">
        <w:rPr>
          <w:lang w:eastAsia="en-US"/>
        </w:rPr>
        <w:t>.</w:t>
      </w:r>
    </w:p>
    <w:p w:rsidR="007116E6" w:rsidRPr="00C259A4" w:rsidRDefault="007116E6" w:rsidP="007116E6">
      <w:pPr>
        <w:spacing w:before="120" w:after="120"/>
        <w:jc w:val="both"/>
        <w:rPr>
          <w:b/>
          <w:bCs/>
        </w:rPr>
      </w:pPr>
      <w:r w:rsidRPr="00C259A4">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7116E6" w:rsidTr="00FA7DF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7116E6" w:rsidRDefault="007116E6" w:rsidP="00FA7DF4">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sz w:val="22"/>
                <w:szCs w:val="22"/>
              </w:rPr>
            </w:pPr>
            <w:r>
              <w:rPr>
                <w:sz w:val="22"/>
                <w:szCs w:val="22"/>
              </w:rPr>
              <w:t>Сделка с заинтересованностью</w:t>
            </w:r>
          </w:p>
        </w:tc>
      </w:tr>
      <w:tr w:rsidR="007116E6" w:rsidTr="00FA7DF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b/>
                <w:sz w:val="22"/>
                <w:szCs w:val="22"/>
              </w:rPr>
            </w:pPr>
            <w:r>
              <w:rPr>
                <w:b/>
                <w:sz w:val="22"/>
                <w:szCs w:val="22"/>
              </w:rPr>
              <w:t>%</w:t>
            </w:r>
          </w:p>
        </w:tc>
      </w:tr>
      <w:tr w:rsidR="007116E6" w:rsidTr="00FA7DF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7116E6" w:rsidRPr="00310CE2" w:rsidRDefault="007116E6" w:rsidP="00FA7DF4">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7116E6" w:rsidRPr="0058745D" w:rsidRDefault="0058745D" w:rsidP="0058745D">
            <w:pPr>
              <w:keepNext/>
              <w:spacing w:before="40" w:after="40"/>
              <w:jc w:val="right"/>
              <w:rPr>
                <w:lang w:val="en-US"/>
              </w:rPr>
            </w:pPr>
            <w:r w:rsidRPr="00B0582C">
              <w:rPr>
                <w:lang w:val="en-US"/>
              </w:rPr>
              <w:t>20</w:t>
            </w:r>
            <w:r>
              <w:rPr>
                <w:lang w:val="en-US"/>
              </w:rPr>
              <w:t> </w:t>
            </w:r>
            <w:r w:rsidRPr="00B0582C">
              <w:rPr>
                <w:lang w:val="en-US"/>
              </w:rPr>
              <w:t>382</w:t>
            </w:r>
          </w:p>
        </w:tc>
        <w:tc>
          <w:tcPr>
            <w:tcW w:w="1594" w:type="dxa"/>
            <w:tcBorders>
              <w:top w:val="single" w:sz="6" w:space="0" w:color="000000"/>
              <w:left w:val="single" w:sz="6" w:space="0" w:color="000000"/>
              <w:bottom w:val="single" w:sz="6" w:space="0" w:color="000000"/>
              <w:right w:val="single" w:sz="6" w:space="0" w:color="000000"/>
            </w:tcBorders>
            <w:hideMark/>
          </w:tcPr>
          <w:p w:rsidR="007116E6" w:rsidRDefault="007116E6" w:rsidP="00FA7DF4">
            <w:pPr>
              <w:overflowPunct w:val="0"/>
              <w:autoSpaceDE w:val="0"/>
              <w:autoSpaceDN w:val="0"/>
              <w:adjustRightInd w:val="0"/>
              <w:jc w:val="right"/>
              <w:rPr>
                <w:bCs/>
                <w:sz w:val="22"/>
                <w:szCs w:val="22"/>
              </w:rPr>
            </w:pPr>
            <w:r>
              <w:rPr>
                <w:bCs/>
                <w:sz w:val="22"/>
                <w:szCs w:val="22"/>
              </w:rPr>
              <w:t>100</w:t>
            </w:r>
          </w:p>
        </w:tc>
      </w:tr>
      <w:tr w:rsidR="007116E6" w:rsidTr="00FA7DF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7116E6" w:rsidRDefault="007116E6" w:rsidP="00FA7DF4">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7116E6" w:rsidRDefault="007116E6" w:rsidP="00FA7DF4">
            <w:pPr>
              <w:overflowPunct w:val="0"/>
              <w:autoSpaceDE w:val="0"/>
              <w:autoSpaceDN w:val="0"/>
              <w:adjustRightInd w:val="0"/>
              <w:jc w:val="right"/>
              <w:rPr>
                <w:sz w:val="22"/>
                <w:szCs w:val="22"/>
              </w:rPr>
            </w:pPr>
            <w:r>
              <w:rPr>
                <w:sz w:val="22"/>
                <w:szCs w:val="22"/>
              </w:rPr>
              <w:t>0</w:t>
            </w:r>
          </w:p>
        </w:tc>
      </w:tr>
      <w:tr w:rsidR="007116E6" w:rsidTr="00FA7DF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7116E6" w:rsidRDefault="007116E6" w:rsidP="00FA7DF4">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7116E6" w:rsidRDefault="007116E6" w:rsidP="00FA7DF4">
            <w:pPr>
              <w:overflowPunct w:val="0"/>
              <w:autoSpaceDE w:val="0"/>
              <w:autoSpaceDN w:val="0"/>
              <w:adjustRightInd w:val="0"/>
              <w:jc w:val="right"/>
              <w:rPr>
                <w:sz w:val="22"/>
                <w:szCs w:val="22"/>
              </w:rPr>
            </w:pPr>
            <w:r>
              <w:rPr>
                <w:sz w:val="22"/>
                <w:szCs w:val="22"/>
              </w:rPr>
              <w:t>0</w:t>
            </w:r>
          </w:p>
        </w:tc>
      </w:tr>
    </w:tbl>
    <w:p w:rsidR="007116E6" w:rsidRDefault="007116E6" w:rsidP="007116E6">
      <w:pPr>
        <w:tabs>
          <w:tab w:val="left" w:pos="9000"/>
        </w:tabs>
        <w:rPr>
          <w:b/>
          <w:bCs/>
          <w:sz w:val="20"/>
          <w:szCs w:val="20"/>
        </w:rPr>
      </w:pPr>
    </w:p>
    <w:p w:rsidR="007116E6" w:rsidRPr="00C259A4" w:rsidRDefault="007116E6" w:rsidP="007116E6">
      <w:pPr>
        <w:tabs>
          <w:tab w:val="left" w:pos="9000"/>
        </w:tabs>
        <w:rPr>
          <w:b/>
          <w:bCs/>
        </w:rPr>
      </w:pPr>
      <w:r w:rsidRPr="00C259A4">
        <w:rPr>
          <w:b/>
          <w:bCs/>
        </w:rPr>
        <w:t>Кворум для принятия решения по данному вопросу имеется.</w:t>
      </w:r>
    </w:p>
    <w:p w:rsidR="007116E6" w:rsidRPr="00C259A4" w:rsidRDefault="007116E6" w:rsidP="007116E6">
      <w:pPr>
        <w:tabs>
          <w:tab w:val="left" w:pos="2660"/>
          <w:tab w:val="left" w:pos="10704"/>
        </w:tabs>
        <w:spacing w:before="120"/>
        <w:jc w:val="both"/>
      </w:pPr>
      <w:r w:rsidRPr="00C259A4">
        <w:rPr>
          <w:b/>
        </w:rPr>
        <w:t>Принято решение</w:t>
      </w:r>
      <w:r w:rsidRPr="00C259A4">
        <w:t xml:space="preserve">: </w:t>
      </w:r>
    </w:p>
    <w:p w:rsidR="00183711" w:rsidRDefault="00183711" w:rsidP="00183711">
      <w:pPr>
        <w:jc w:val="both"/>
        <w:rPr>
          <w:szCs w:val="20"/>
          <w:lang w:eastAsia="x-none"/>
        </w:rPr>
      </w:pPr>
    </w:p>
    <w:p w:rsidR="00183711" w:rsidRPr="00183711" w:rsidRDefault="00183711" w:rsidP="00183711">
      <w:pPr>
        <w:jc w:val="both"/>
        <w:rPr>
          <w:szCs w:val="20"/>
          <w:lang w:eastAsia="x-none"/>
        </w:rPr>
      </w:pPr>
      <w:r w:rsidRPr="00183711">
        <w:rPr>
          <w:szCs w:val="20"/>
          <w:lang w:val="x-none" w:eastAsia="x-none"/>
        </w:rPr>
        <w:t>Одобрить заключение Обществом крупной сделки</w:t>
      </w:r>
      <w:r w:rsidRPr="00183711">
        <w:rPr>
          <w:lang w:val="x-none" w:eastAsia="x-none"/>
        </w:rPr>
        <w:t xml:space="preserve"> с </w:t>
      </w:r>
      <w:r w:rsidRPr="00183711">
        <w:rPr>
          <w:lang w:val="x-none" w:eastAsia="en-US"/>
        </w:rPr>
        <w:t>АО «</w:t>
      </w:r>
      <w:proofErr w:type="spellStart"/>
      <w:r w:rsidRPr="00183711">
        <w:rPr>
          <w:lang w:val="x-none" w:eastAsia="en-US"/>
        </w:rPr>
        <w:t>ЮниКредит</w:t>
      </w:r>
      <w:proofErr w:type="spellEnd"/>
      <w:r w:rsidRPr="00183711">
        <w:rPr>
          <w:lang w:val="x-none" w:eastAsia="en-US"/>
        </w:rPr>
        <w:t xml:space="preserve"> Банк»</w:t>
      </w:r>
      <w:r w:rsidRPr="00183711">
        <w:rPr>
          <w:szCs w:val="20"/>
          <w:lang w:val="x-none" w:eastAsia="en-US"/>
        </w:rPr>
        <w:t xml:space="preserve"> (далее –Банк)</w:t>
      </w:r>
      <w:r w:rsidRPr="00183711">
        <w:rPr>
          <w:lang w:val="x-none" w:eastAsia="x-none"/>
        </w:rPr>
        <w:t xml:space="preserve">, в совершении которой имеется заинтересованность - </w:t>
      </w:r>
      <w:r w:rsidRPr="00183711">
        <w:rPr>
          <w:lang w:val="x-none" w:eastAsia="en-US"/>
        </w:rPr>
        <w:t>договора поручительства в обеспечение исполнения обязательств</w:t>
      </w:r>
      <w:r w:rsidRPr="00183711">
        <w:rPr>
          <w:lang w:val="x-none" w:eastAsia="x-none"/>
        </w:rPr>
        <w:t xml:space="preserve"> АО «ГМС Нефтемаш»</w:t>
      </w:r>
      <w:r w:rsidRPr="00183711">
        <w:rPr>
          <w:lang w:eastAsia="x-none"/>
        </w:rPr>
        <w:t xml:space="preserve"> </w:t>
      </w:r>
      <w:r w:rsidRPr="00183711">
        <w:rPr>
          <w:szCs w:val="20"/>
          <w:lang w:val="x-none" w:eastAsia="x-none"/>
        </w:rPr>
        <w:t xml:space="preserve">по Соглашению №001/0145L/15 о специальных условиях предоставления револьверной линии </w:t>
      </w:r>
      <w:r w:rsidRPr="00183711">
        <w:rPr>
          <w:szCs w:val="20"/>
          <w:lang w:val="x-none" w:eastAsia="en-US"/>
        </w:rPr>
        <w:t xml:space="preserve">(далее - Линии) </w:t>
      </w:r>
      <w:r w:rsidRPr="00183711">
        <w:rPr>
          <w:szCs w:val="20"/>
          <w:lang w:val="x-none" w:eastAsia="x-none"/>
        </w:rPr>
        <w:t xml:space="preserve">для осуществления документарных операций от «17» апреля 2015г. между АО «ГМС Нефтемаш» </w:t>
      </w:r>
      <w:r w:rsidRPr="00183711">
        <w:rPr>
          <w:szCs w:val="20"/>
          <w:lang w:val="x-none" w:eastAsia="en-US"/>
        </w:rPr>
        <w:t xml:space="preserve">(далее – Клиент) </w:t>
      </w:r>
      <w:r w:rsidRPr="00183711">
        <w:rPr>
          <w:szCs w:val="20"/>
          <w:lang w:val="x-none" w:eastAsia="x-none"/>
        </w:rPr>
        <w:t>и Банком (далее - Соглашение)</w:t>
      </w:r>
      <w:r w:rsidRPr="00183711">
        <w:rPr>
          <w:szCs w:val="20"/>
          <w:lang w:eastAsia="x-none"/>
        </w:rPr>
        <w:t xml:space="preserve"> на следующих условиях: </w:t>
      </w:r>
    </w:p>
    <w:p w:rsidR="00183711" w:rsidRPr="00183711" w:rsidRDefault="00183711" w:rsidP="00183711">
      <w:pPr>
        <w:rPr>
          <w:u w:val="single"/>
        </w:rPr>
      </w:pPr>
    </w:p>
    <w:p w:rsidR="00183711" w:rsidRPr="00183711" w:rsidRDefault="00183711" w:rsidP="00183711">
      <w:pPr>
        <w:rPr>
          <w:u w:val="single"/>
        </w:rPr>
      </w:pPr>
      <w:r w:rsidRPr="00183711">
        <w:rPr>
          <w:u w:val="single"/>
        </w:rPr>
        <w:t>Стороны сделки:</w:t>
      </w:r>
    </w:p>
    <w:p w:rsidR="00183711" w:rsidRPr="00183711" w:rsidRDefault="00183711" w:rsidP="00183711">
      <w:r w:rsidRPr="00183711">
        <w:lastRenderedPageBreak/>
        <w:t>Банк: Акционерное общество</w:t>
      </w:r>
      <w:r w:rsidRPr="00183711">
        <w:rPr>
          <w:lang w:eastAsia="en-US"/>
        </w:rPr>
        <w:t xml:space="preserve"> «</w:t>
      </w:r>
      <w:proofErr w:type="spellStart"/>
      <w:r w:rsidRPr="00183711">
        <w:rPr>
          <w:lang w:eastAsia="en-US"/>
        </w:rPr>
        <w:t>ЮниКредит</w:t>
      </w:r>
      <w:proofErr w:type="spellEnd"/>
      <w:r w:rsidRPr="00183711">
        <w:rPr>
          <w:lang w:eastAsia="en-US"/>
        </w:rPr>
        <w:t xml:space="preserve"> Банк»</w:t>
      </w:r>
    </w:p>
    <w:p w:rsidR="00183711" w:rsidRPr="00183711" w:rsidRDefault="00183711" w:rsidP="00183711">
      <w:pPr>
        <w:jc w:val="both"/>
      </w:pPr>
      <w:r w:rsidRPr="00183711">
        <w:t>Поручитель: Акционерное общество «</w:t>
      </w:r>
      <w:proofErr w:type="spellStart"/>
      <w:r w:rsidRPr="00183711">
        <w:t>Сибнефтемаш</w:t>
      </w:r>
      <w:proofErr w:type="spellEnd"/>
      <w:r w:rsidRPr="00183711">
        <w:t>»</w:t>
      </w:r>
    </w:p>
    <w:p w:rsidR="00183711" w:rsidRPr="00183711" w:rsidRDefault="00183711" w:rsidP="00183711">
      <w:pPr>
        <w:jc w:val="both"/>
        <w:rPr>
          <w:u w:val="single"/>
          <w:lang w:eastAsia="x-none"/>
        </w:rPr>
      </w:pPr>
    </w:p>
    <w:p w:rsidR="00183711" w:rsidRPr="00183711" w:rsidRDefault="00183711" w:rsidP="00183711">
      <w:pPr>
        <w:rPr>
          <w:u w:val="single"/>
        </w:rPr>
      </w:pPr>
      <w:r w:rsidRPr="00183711">
        <w:rPr>
          <w:u w:val="single"/>
        </w:rPr>
        <w:t>Существенные условия сделки:</w:t>
      </w:r>
    </w:p>
    <w:p w:rsidR="00183711" w:rsidRPr="00183711" w:rsidRDefault="00183711" w:rsidP="00183711">
      <w:pPr>
        <w:rPr>
          <w:u w:val="single"/>
        </w:rPr>
      </w:pPr>
      <w:r w:rsidRPr="00183711">
        <w:rPr>
          <w:u w:val="single"/>
        </w:rPr>
        <w:t>1. Существенные условия Соглашения:</w:t>
      </w:r>
    </w:p>
    <w:p w:rsidR="00183711" w:rsidRPr="00183711" w:rsidRDefault="00183711" w:rsidP="00183711">
      <w:pPr>
        <w:ind w:firstLine="708"/>
        <w:jc w:val="both"/>
      </w:pPr>
      <w:r w:rsidRPr="00183711">
        <w:t>Лимит Линии в размере 5 600 000 000,00 (Пять миллиардов шестьсот миллионов) рублей РФ. Срок действия Соглашения – до «03» июля 2022г. Датой окончания Срока действия Линии является «03» июля 2022г.</w:t>
      </w:r>
    </w:p>
    <w:p w:rsidR="00183711" w:rsidRPr="00183711" w:rsidRDefault="00183711" w:rsidP="00183711">
      <w:pPr>
        <w:jc w:val="both"/>
      </w:pPr>
      <w:r w:rsidRPr="00183711">
        <w:t xml:space="preserve">Цели использования Линии - выдача, увеличение суммы, продление срока действия гарантий </w:t>
      </w:r>
      <w:r w:rsidRPr="00183711">
        <w:rPr>
          <w:i/>
          <w:lang w:eastAsia="en-US"/>
        </w:rPr>
        <w:t xml:space="preserve">(под гарантиями подразумеваются, в случае соответствующих обращений Клиента, также </w:t>
      </w:r>
      <w:proofErr w:type="spellStart"/>
      <w:r w:rsidRPr="00183711">
        <w:rPr>
          <w:i/>
          <w:lang w:eastAsia="en-US"/>
        </w:rPr>
        <w:t>контргарантии</w:t>
      </w:r>
      <w:proofErr w:type="spellEnd"/>
      <w:r w:rsidRPr="00183711">
        <w:rPr>
          <w:i/>
          <w:lang w:eastAsia="en-US"/>
        </w:rPr>
        <w:t>, гарантии по обязательствам третьего лица и резервные аккредитивы (в отношении резервных аккредитивов - только по трансграничным сделкам)</w:t>
      </w:r>
      <w:r w:rsidRPr="00183711">
        <w:t xml:space="preserve"> в рублях РФ, долларах США и евро, перевод гарантий, выданных на условиях иных соглашений о выдаче гарантий, с предоставлением/без предоставления или частичным предоставлением Клиентом денежного покрытия, в Лимит Линии.</w:t>
      </w:r>
    </w:p>
    <w:p w:rsidR="00183711" w:rsidRPr="00183711" w:rsidRDefault="00183711" w:rsidP="00183711">
      <w:pPr>
        <w:jc w:val="both"/>
      </w:pPr>
      <w:r w:rsidRPr="00183711">
        <w:t>Комиссия за управление в размере 42.500,00 (Сорок две тысячи пятьсот) Евро, подлежит уплате Клиентом в Рублях по курсу Банка России на дату платежа независимо от того осуществлялись ли операции в рамках Линии или нет единовременно в течение 5 (Пять) рабочих дней с даты подписания Соглашения.</w:t>
      </w:r>
    </w:p>
    <w:p w:rsidR="00183711" w:rsidRPr="00183711" w:rsidRDefault="00183711" w:rsidP="00183711">
      <w:pPr>
        <w:jc w:val="both"/>
      </w:pPr>
      <w:r w:rsidRPr="00183711">
        <w:t>Клиент уплатит Банку комиссию за открытие/выдачу, увеличение суммы, продление срока действия аккредитива/гарантии в размере, установленном Сторонами в соответствующем Заявлении/Поручении в порядке, определенном подпунктом 5.2.4. пункта 5.2. Статьи 5 Соглашения, но не более 2,5% (Две целых пять десятых процента) годовых, начисляемую на сумму аккредитива/гарантии, сумму увеличения суммы аккредитива/ гарантии, но не менее 200,00 (Двести) Долларов США или эквивалента этой суммы в другой валюте по курсу Банка России на дату платежа, за каждый период, состоящий из 90 (Девяносто) последовательных календарных дней («Комиссионный период») или его часть (для последнего Комиссионного периода). Первый Комиссионный период начинается в дату открытия аккредитива/выдачи гарантии. Последний Комиссионный период заканчивается в дату окончания срока действия аккредитива/гарантии (в том числе с учетом продления срока действия аккредитива/гарантии) или в дату последнего платежа по аккредитиву/гарантии (в зависимости от того, какая из дат наступит ранее).</w:t>
      </w:r>
    </w:p>
    <w:p w:rsidR="00183711" w:rsidRPr="00183711" w:rsidRDefault="00183711" w:rsidP="00183711">
      <w:pPr>
        <w:jc w:val="both"/>
      </w:pPr>
      <w:r w:rsidRPr="00183711">
        <w:t>Комиссия начисляется с учетом фактического количества дней действия аккредитива/гарантии и действительного количества дней в Комиссионном периоде, начиная с даты открытия аккредитива/выдачи гарантии и до даты истечения срока действия аккредитива/гарантии (включая обе даты), в том числе с учетом продления срока действия аккредитива/гарантии.</w:t>
      </w:r>
    </w:p>
    <w:p w:rsidR="00183711" w:rsidRPr="00183711" w:rsidRDefault="00183711" w:rsidP="00183711">
      <w:pPr>
        <w:tabs>
          <w:tab w:val="left" w:pos="1125"/>
        </w:tabs>
        <w:jc w:val="both"/>
      </w:pPr>
      <w:r w:rsidRPr="00183711">
        <w:t xml:space="preserve">      Комиссия за открытие аккредитива/выдачу гарантии начисляется на сумму аккредитива/гарантии, определяемую по состоянию на начало каждого рабочего дня оплачиваемого Комиссионного периода, за вычетом осуществленных платежей и с учетом увеличения/уменьшения суммы аккредитива/гарантии, если они имели место ранее. </w:t>
      </w:r>
    </w:p>
    <w:p w:rsidR="00183711" w:rsidRPr="00183711" w:rsidRDefault="00183711" w:rsidP="00183711">
      <w:pPr>
        <w:jc w:val="both"/>
      </w:pPr>
      <w:r w:rsidRPr="00183711">
        <w:t xml:space="preserve">     Комиссия за открытие аккредитива/выдачу гарантии уплачивается в последний рабочий день каждого оплачиваемого Комиссионного периода, или в дату окончания срока действия аккредитива/гарантии</w:t>
      </w:r>
      <w:r w:rsidRPr="00183711" w:rsidDel="00C64B48">
        <w:t xml:space="preserve"> </w:t>
      </w:r>
      <w:r w:rsidRPr="00183711">
        <w:t xml:space="preserve">(в том числе с учетом продления срока действия аккредитива/гарантии) или в дату последнего платежа по аккредитиву/гарантии (в зависимости от того, какая из дат наступит ранее). </w:t>
      </w:r>
    </w:p>
    <w:p w:rsidR="00183711" w:rsidRPr="00183711" w:rsidRDefault="00183711" w:rsidP="00183711">
      <w:pPr>
        <w:jc w:val="both"/>
      </w:pPr>
      <w:r w:rsidRPr="00183711">
        <w:t xml:space="preserve">     Комиссия за увеличение суммы аккредитива/гарантии уплачивается Клиентом Банку одновременно с оплатой комиссии за открытие аккредитива/выдачу гарантии, в установленном порядке. </w:t>
      </w:r>
    </w:p>
    <w:p w:rsidR="00183711" w:rsidRPr="00183711" w:rsidRDefault="00183711" w:rsidP="00183711">
      <w:pPr>
        <w:jc w:val="both"/>
      </w:pPr>
      <w:r w:rsidRPr="00183711">
        <w:t xml:space="preserve">    В случае если аккредитив предусматривает платеж с рассрочкой, Клиент уплатит Банку комиссию за рассрочку платежа в размере, установленном Сторонами в соответствующем </w:t>
      </w:r>
      <w:r w:rsidRPr="00183711">
        <w:lastRenderedPageBreak/>
        <w:t>Заявлении на открытие аккредитива в порядке, определенном подпунктом 5.2.4. пункта 5.2. Статьи 5 Соглашения, но не более 2,5% (Две целых пять десятых процента) годовых, начисляемых на сумму платежа по аккредитиву, но не менее 200,00 (Двести) Долларов США или эквивалента этой суммы в другой валюте по курсу Банка России на дату платежа, за каждый оплачиваемый Комиссионный период, как он был определен для оплаты комиссии за открытие аккредитива, начиная с даты принятия Банком обязательства платить с рассрочкой, что подтверждается выдачей Банком Клиенту документов по аккредитиву (начало первого Комиссионного периода) по дату окончания периода рассрочки платежа. Датой окончания периода рассрочки платежа является дата осуществления отсроченного платежа по аккредитиву.</w:t>
      </w:r>
    </w:p>
    <w:p w:rsidR="00183711" w:rsidRPr="00183711" w:rsidRDefault="00183711" w:rsidP="00183711">
      <w:pPr>
        <w:jc w:val="both"/>
      </w:pPr>
      <w:r w:rsidRPr="00183711">
        <w:t>Комиссия начисляется за каждый день периода рассрочки платежа, исходя из фактического количества дней в году.</w:t>
      </w:r>
    </w:p>
    <w:p w:rsidR="00183711" w:rsidRPr="00183711" w:rsidRDefault="00183711" w:rsidP="00183711">
      <w:pPr>
        <w:jc w:val="both"/>
      </w:pPr>
      <w:r w:rsidRPr="00183711">
        <w:t>Комиссия за платеж с рассрочкой подлежит уплате Клиентом Банку в дату осуществления платежа по аккредитиву</w:t>
      </w:r>
    </w:p>
    <w:p w:rsidR="00183711" w:rsidRPr="00183711" w:rsidRDefault="00183711" w:rsidP="00183711">
      <w:pPr>
        <w:jc w:val="both"/>
      </w:pPr>
      <w:r w:rsidRPr="00183711">
        <w:t>Прочие комиссии Банка взимаются в соответствии с «Тарифом комиссионного вознаграждения за выполнение акционерным обществом «</w:t>
      </w:r>
      <w:proofErr w:type="spellStart"/>
      <w:r w:rsidRPr="00183711">
        <w:t>ЮниКредит</w:t>
      </w:r>
      <w:proofErr w:type="spellEnd"/>
      <w:r w:rsidRPr="00183711">
        <w:t xml:space="preserve"> Банк» поручений клиентов – юридических лиц и индивидуальных предпринимателей» в редакции, действующей на дату начисления комиссии.</w:t>
      </w:r>
    </w:p>
    <w:p w:rsidR="00183711" w:rsidRPr="00183711" w:rsidRDefault="00183711" w:rsidP="00183711">
      <w:pPr>
        <w:jc w:val="both"/>
      </w:pPr>
      <w:r w:rsidRPr="00183711">
        <w:t>При этом комиссия за аннуляцию гарантии (досрочное прекращение гарантии) не взимается.</w:t>
      </w:r>
    </w:p>
    <w:p w:rsidR="00183711" w:rsidRPr="00183711" w:rsidRDefault="00183711" w:rsidP="00183711">
      <w:pPr>
        <w:jc w:val="both"/>
      </w:pPr>
      <w:r w:rsidRPr="00183711">
        <w:t>Клиент обязуется возместить Банку любую сумму, которую Банк выплатит по любой из гарантий, выданных в рамках Линии, в дату соответствующего платежа по любой из гарантий, оплатить в полном объеме и без каких-либо удержаний все комиссии Банка в предусмотренные Соглашением даты и возместить расходы, связанные с выдачей гарантий и их исполнением.</w:t>
      </w:r>
    </w:p>
    <w:p w:rsidR="00183711" w:rsidRPr="00183711" w:rsidRDefault="00183711" w:rsidP="00183711">
      <w:pPr>
        <w:jc w:val="both"/>
      </w:pPr>
      <w:r w:rsidRPr="00183711">
        <w:t xml:space="preserve">   Неустойка в размере:</w:t>
      </w:r>
    </w:p>
    <w:p w:rsidR="00183711" w:rsidRPr="00183711" w:rsidRDefault="00183711" w:rsidP="00183711">
      <w:pPr>
        <w:jc w:val="both"/>
      </w:pPr>
      <w:r w:rsidRPr="00183711">
        <w:rPr>
          <w:iCs/>
        </w:rPr>
        <w:t>- увеличенной в 2 (Два) раза</w:t>
      </w:r>
      <w:r w:rsidRPr="00183711">
        <w:t xml:space="preserve"> </w:t>
      </w:r>
      <w:r w:rsidRPr="00183711">
        <w:rPr>
          <w:iCs/>
          <w:color w:val="000000"/>
        </w:rPr>
        <w:t>ставки рефинансирования Банка России /</w:t>
      </w:r>
      <w:r w:rsidRPr="00183711">
        <w:rPr>
          <w:i/>
          <w:iCs/>
        </w:rPr>
        <w:t xml:space="preserve"> </w:t>
      </w:r>
      <w:r w:rsidRPr="00183711">
        <w:rPr>
          <w:iCs/>
        </w:rPr>
        <w:t>ключевой ставки Банка России (при этом учитывается максимальное значение из предложенных ставок)</w:t>
      </w:r>
      <w:r w:rsidRPr="00183711">
        <w:rPr>
          <w:iCs/>
          <w:color w:val="000000"/>
        </w:rPr>
        <w:t xml:space="preserve"> Банка России </w:t>
      </w:r>
      <w:r w:rsidRPr="00183711">
        <w:rPr>
          <w:color w:val="000000"/>
        </w:rPr>
        <w:t>или иной ставки, установленной Банком России или иным уполномоченным органом, которая будет заменять ставку рефинансирования</w:t>
      </w:r>
      <w:r w:rsidRPr="00183711">
        <w:rPr>
          <w:iCs/>
          <w:color w:val="000000"/>
        </w:rPr>
        <w:t>, действующую на дату платежа по гарантии/аккредитиву / дату, установленную для уплаты комиссии – за нарушение обязательства в Рублях</w:t>
      </w:r>
      <w:r w:rsidRPr="00183711">
        <w:t>,</w:t>
      </w:r>
    </w:p>
    <w:p w:rsidR="00183711" w:rsidRPr="00183711" w:rsidRDefault="00183711" w:rsidP="00183711">
      <w:pPr>
        <w:jc w:val="both"/>
      </w:pPr>
      <w:r w:rsidRPr="00183711">
        <w:t>- 10% (Десять процентов) годовых - за нарушение обязательств в Долларах США и Евро, начисляется на сумму задолженности по возмещению Банку суммы платежа по гарантии / аккредитиву/ сумму задолженности по уплате Банку комиссий, с даты, следующей за датой платежа по гарантии/ аккредитиву / датой, установленной для уплаты комиссий, по дату предоставления Клиентом Банку соответствующего возмещения / дату уплаты комиссий включительно.</w:t>
      </w:r>
    </w:p>
    <w:p w:rsidR="00183711" w:rsidRPr="00183711" w:rsidRDefault="00183711" w:rsidP="00183711">
      <w:pPr>
        <w:jc w:val="both"/>
      </w:pPr>
    </w:p>
    <w:p w:rsidR="00183711" w:rsidRPr="00183711" w:rsidRDefault="00183711" w:rsidP="00183711">
      <w:pPr>
        <w:spacing w:line="276" w:lineRule="auto"/>
        <w:rPr>
          <w:u w:val="single"/>
        </w:rPr>
      </w:pPr>
      <w:r w:rsidRPr="00183711">
        <w:rPr>
          <w:u w:val="single"/>
        </w:rPr>
        <w:t>2. Существенные условия Договора поручительства (сделки):</w:t>
      </w:r>
    </w:p>
    <w:p w:rsidR="00183711" w:rsidRPr="00183711" w:rsidRDefault="00183711" w:rsidP="00183711">
      <w:pPr>
        <w:spacing w:line="276" w:lineRule="auto"/>
        <w:ind w:firstLine="567"/>
        <w:jc w:val="both"/>
      </w:pPr>
      <w:r w:rsidRPr="00183711">
        <w:t>Обеспечиваемое обязательство – обязательства Клиента по Соглашению, заключенному между Банком и Клиентом на существенных условиях, изложенных выше.</w:t>
      </w:r>
    </w:p>
    <w:p w:rsidR="00183711" w:rsidRPr="00183711" w:rsidRDefault="00183711" w:rsidP="00183711">
      <w:pPr>
        <w:spacing w:line="276" w:lineRule="auto"/>
        <w:ind w:firstLine="567"/>
        <w:jc w:val="both"/>
      </w:pPr>
      <w:r w:rsidRPr="00183711">
        <w:t xml:space="preserve">В соответствии с Договором поручительства Поручитель </w:t>
      </w:r>
      <w:proofErr w:type="spellStart"/>
      <w:r w:rsidRPr="00183711">
        <w:t>безотзывно</w:t>
      </w:r>
      <w:proofErr w:type="spellEnd"/>
      <w:r w:rsidRPr="00183711">
        <w:t xml:space="preserve"> обязуется, солидарно с Клиентом, отвечать в том же объеме, что и Клиент, и выплачивать Банку по его первому требованию любые суммы, которые причитаются к уплате Банку Клиентом (с учетом указанных ниже пределов изменения условий Соглашения), в случае если Клиент не произведет какой-либо платеж в погашение задолженности в соответствии с условиями Соглашения.</w:t>
      </w:r>
    </w:p>
    <w:p w:rsidR="00183711" w:rsidRPr="00183711" w:rsidRDefault="00183711" w:rsidP="00183711">
      <w:pPr>
        <w:spacing w:line="276" w:lineRule="auto"/>
        <w:ind w:firstLine="567"/>
        <w:jc w:val="both"/>
      </w:pPr>
      <w:r w:rsidRPr="00183711">
        <w:t xml:space="preserve">Под «задолженностью» понимаются расходы Банка, связанные с осуществлением Банком платежей по гарантиям/аккредитивам, выданным/открытым в рамках Линии, не </w:t>
      </w:r>
      <w:r w:rsidRPr="00183711">
        <w:lastRenderedPageBreak/>
        <w:t>возмещенные Клиентом в соответствии с условиями Соглашения, комиссии, неустойка, расходы и другие суммы, подлежащие уплате Клиентом в соответствии с условиями Соглашения.</w:t>
      </w:r>
    </w:p>
    <w:p w:rsidR="00183711" w:rsidRPr="00183711" w:rsidRDefault="00183711" w:rsidP="00183711">
      <w:pPr>
        <w:spacing w:line="276" w:lineRule="auto"/>
        <w:ind w:firstLine="567"/>
        <w:jc w:val="both"/>
      </w:pPr>
      <w:r w:rsidRPr="00183711">
        <w:t>Предел ответственности Поручителя по Договору поручительства составляет сумму Лимита Линии, комиссий, неустойки, расходы и другие суммы, причитающиеся Банку по Соглашению (с учетом указанных ниже пределов изменения условий Соглашения), возможные издержки, связанные с его принудительным исполнением, а также сумму требований о возврате полученного по Соглашению при его недействительности или о возврате неосновательного обогащения при признании Соглашения незаключенным с процентами за пользование чужими денежными средствами.</w:t>
      </w:r>
    </w:p>
    <w:p w:rsidR="00183711" w:rsidRPr="00183711" w:rsidRDefault="00183711" w:rsidP="00183711">
      <w:pPr>
        <w:spacing w:line="276" w:lineRule="auto"/>
        <w:ind w:firstLine="567"/>
        <w:jc w:val="both"/>
        <w:rPr>
          <w:b/>
        </w:rPr>
      </w:pPr>
      <w:r w:rsidRPr="00183711">
        <w:rPr>
          <w:b/>
        </w:rPr>
        <w:t>Выгодоприобретателем по Договору поручительства является Клиент.</w:t>
      </w:r>
    </w:p>
    <w:p w:rsidR="00183711" w:rsidRPr="00183711" w:rsidRDefault="00183711" w:rsidP="00183711">
      <w:pPr>
        <w:spacing w:line="276" w:lineRule="auto"/>
        <w:ind w:firstLine="567"/>
        <w:jc w:val="both"/>
      </w:pPr>
      <w:r w:rsidRPr="00183711">
        <w:t>В случае перевода долга по Соглашению на иное лицо, входящее в одну Группу с Клиентом, Поручитель настоящим дает свое согласие отвечать за надлежащее исполнение обязательств по Соглашению новым должником на условиях Договора поручительства без получения какого – либо дополнительного письменного согласия Поручителя.</w:t>
      </w:r>
    </w:p>
    <w:p w:rsidR="00183711" w:rsidRPr="00183711" w:rsidRDefault="00183711" w:rsidP="00183711">
      <w:pPr>
        <w:spacing w:line="276" w:lineRule="auto"/>
        <w:ind w:firstLine="567"/>
        <w:jc w:val="both"/>
      </w:pPr>
      <w:r w:rsidRPr="00183711">
        <w:t xml:space="preserve">Под Группой понимаются HMS </w:t>
      </w:r>
      <w:proofErr w:type="spellStart"/>
      <w:r w:rsidRPr="00183711">
        <w:t>Hydraulic</w:t>
      </w:r>
      <w:proofErr w:type="spellEnd"/>
      <w:r w:rsidRPr="00183711">
        <w:t xml:space="preserve"> </w:t>
      </w:r>
      <w:proofErr w:type="spellStart"/>
      <w:r w:rsidRPr="00183711">
        <w:t>Machines</w:t>
      </w:r>
      <w:proofErr w:type="spellEnd"/>
      <w:r w:rsidRPr="00183711">
        <w:t xml:space="preserve"> &amp; </w:t>
      </w:r>
      <w:proofErr w:type="spellStart"/>
      <w:r w:rsidRPr="00183711">
        <w:t>Systems</w:t>
      </w:r>
      <w:proofErr w:type="spellEnd"/>
      <w:r w:rsidRPr="00183711">
        <w:t xml:space="preserve"> </w:t>
      </w:r>
      <w:proofErr w:type="spellStart"/>
      <w:r w:rsidRPr="00183711">
        <w:t>Group</w:t>
      </w:r>
      <w:proofErr w:type="spellEnd"/>
      <w:r w:rsidRPr="00183711">
        <w:t xml:space="preserve"> </w:t>
      </w:r>
      <w:proofErr w:type="spellStart"/>
      <w:r w:rsidRPr="00183711">
        <w:t>Plc</w:t>
      </w:r>
      <w:proofErr w:type="spellEnd"/>
      <w:r w:rsidRPr="00183711">
        <w:t xml:space="preserve">, созданное и зарегистрированное в соответствии с законодательством  Республики Кипр, Регистрационный номер: HE266578, с местонахождением по адресу: 3032, Кипр, </w:t>
      </w:r>
      <w:proofErr w:type="spellStart"/>
      <w:r w:rsidRPr="00183711">
        <w:t>Лимассол</w:t>
      </w:r>
      <w:proofErr w:type="spellEnd"/>
      <w:r w:rsidRPr="00183711">
        <w:t xml:space="preserve">, </w:t>
      </w:r>
      <w:proofErr w:type="spellStart"/>
      <w:r w:rsidRPr="00183711">
        <w:t>Караискаки</w:t>
      </w:r>
      <w:proofErr w:type="spellEnd"/>
      <w:r w:rsidRPr="00183711">
        <w:t>, 13 (</w:t>
      </w:r>
      <w:proofErr w:type="spellStart"/>
      <w:r w:rsidRPr="00183711">
        <w:t>Karaiskaki</w:t>
      </w:r>
      <w:proofErr w:type="spellEnd"/>
      <w:r w:rsidRPr="00183711">
        <w:t xml:space="preserve">, 13, 3032, </w:t>
      </w:r>
      <w:proofErr w:type="spellStart"/>
      <w:r w:rsidRPr="00183711">
        <w:t>Limassol</w:t>
      </w:r>
      <w:proofErr w:type="spellEnd"/>
      <w:r w:rsidRPr="00183711">
        <w:t xml:space="preserve">, </w:t>
      </w:r>
      <w:proofErr w:type="spellStart"/>
      <w:r w:rsidRPr="00183711">
        <w:t>Cyprus</w:t>
      </w:r>
      <w:proofErr w:type="spellEnd"/>
      <w:r w:rsidRPr="00183711">
        <w:t xml:space="preserve">), и все его дочерние компании, в соответствии с тем, как это указано в консолидированной финансовой отчетности HMS </w:t>
      </w:r>
      <w:proofErr w:type="spellStart"/>
      <w:r w:rsidRPr="00183711">
        <w:t>Hydraulic</w:t>
      </w:r>
      <w:proofErr w:type="spellEnd"/>
      <w:r w:rsidRPr="00183711">
        <w:t xml:space="preserve"> </w:t>
      </w:r>
      <w:proofErr w:type="spellStart"/>
      <w:r w:rsidRPr="00183711">
        <w:t>Machines</w:t>
      </w:r>
      <w:proofErr w:type="spellEnd"/>
      <w:r w:rsidRPr="00183711">
        <w:t xml:space="preserve"> &amp; </w:t>
      </w:r>
      <w:proofErr w:type="spellStart"/>
      <w:r w:rsidRPr="00183711">
        <w:t>Systems</w:t>
      </w:r>
      <w:proofErr w:type="spellEnd"/>
      <w:r w:rsidRPr="00183711">
        <w:t xml:space="preserve"> </w:t>
      </w:r>
      <w:proofErr w:type="spellStart"/>
      <w:r w:rsidRPr="00183711">
        <w:t>Group</w:t>
      </w:r>
      <w:proofErr w:type="spellEnd"/>
      <w:r w:rsidRPr="00183711">
        <w:t xml:space="preserve"> </w:t>
      </w:r>
      <w:proofErr w:type="spellStart"/>
      <w:r w:rsidRPr="00183711">
        <w:t>Plc</w:t>
      </w:r>
      <w:proofErr w:type="spellEnd"/>
      <w:r w:rsidRPr="00183711">
        <w:t>, составленной в соответствии с МСФО (Международные стандарты финансовой отчетности) на последнюю дату составления такой отчетности.</w:t>
      </w:r>
    </w:p>
    <w:p w:rsidR="00183711" w:rsidRPr="00183711" w:rsidRDefault="00183711" w:rsidP="00183711">
      <w:pPr>
        <w:spacing w:line="276" w:lineRule="auto"/>
        <w:ind w:firstLine="567"/>
        <w:jc w:val="both"/>
      </w:pPr>
      <w:r w:rsidRPr="00183711">
        <w:t>Поручитель настоящим дает свое согласие отвечать по Договору поручительства также в случае последующего изменения Соглашения, влекущего изменение каждого из условий Соглашения по сравнению с соответствующим условием, установленным Соглашением:</w:t>
      </w:r>
    </w:p>
    <w:p w:rsidR="00183711" w:rsidRPr="00183711" w:rsidRDefault="00183711" w:rsidP="00183711">
      <w:pPr>
        <w:spacing w:line="276" w:lineRule="auto"/>
        <w:ind w:firstLine="567"/>
        <w:jc w:val="both"/>
      </w:pPr>
      <w:r w:rsidRPr="00183711">
        <w:t xml:space="preserve">- не более чем на 50 % (Пятьдесят процентов) в отношении Лимита Линии, комиссий, неустойки по Соглашению; </w:t>
      </w:r>
    </w:p>
    <w:p w:rsidR="00183711" w:rsidRPr="00183711" w:rsidRDefault="00183711" w:rsidP="00183711">
      <w:pPr>
        <w:spacing w:line="276" w:lineRule="auto"/>
        <w:ind w:firstLine="567"/>
        <w:jc w:val="both"/>
      </w:pPr>
      <w:r w:rsidRPr="00183711">
        <w:t>- не более чем в 2 (Два) раза в отношении увеличения или уменьшения Срока действия Линии.</w:t>
      </w:r>
    </w:p>
    <w:p w:rsidR="00183711" w:rsidRPr="00183711" w:rsidRDefault="00183711" w:rsidP="00183711">
      <w:pPr>
        <w:spacing w:line="276" w:lineRule="auto"/>
        <w:ind w:firstLine="567"/>
        <w:jc w:val="both"/>
      </w:pPr>
      <w:r w:rsidRPr="00183711">
        <w:t>При этом оформления какого-либо дополнительного письменного согласия Поручителя на такое изменение не требуется.</w:t>
      </w:r>
    </w:p>
    <w:p w:rsidR="00183711" w:rsidRPr="00183711" w:rsidRDefault="00183711" w:rsidP="00183711">
      <w:pPr>
        <w:spacing w:line="276" w:lineRule="auto"/>
        <w:ind w:firstLine="567"/>
        <w:jc w:val="both"/>
      </w:pPr>
      <w:r w:rsidRPr="00183711">
        <w:t>Договор поручительства действует в течение срока, оканчивающегося через три года с даты окончания Срока действия Линии (с учетом указанных выше пределов изменения условий Соглашения).</w:t>
      </w:r>
    </w:p>
    <w:p w:rsidR="00183711" w:rsidRPr="00183711" w:rsidRDefault="00183711" w:rsidP="00183711">
      <w:pPr>
        <w:spacing w:line="276" w:lineRule="auto"/>
        <w:ind w:firstLine="567"/>
        <w:jc w:val="both"/>
      </w:pPr>
      <w:r w:rsidRPr="00183711">
        <w:t>Заключение, прекращение или изменение договоров, обеспечивающих Соглашение, не прекращает Договор поручительства и не освобождает Поручителя от ответственности, в том числе в той мере, в какой оно могло потребовать возмещение за счет утраченного обеспечения.</w:t>
      </w:r>
    </w:p>
    <w:p w:rsidR="00183711" w:rsidRPr="00183711" w:rsidRDefault="00183711" w:rsidP="00183711">
      <w:pPr>
        <w:spacing w:line="276" w:lineRule="auto"/>
        <w:ind w:firstLine="567"/>
        <w:jc w:val="both"/>
      </w:pPr>
      <w:r w:rsidRPr="00183711">
        <w:t>Остальные условия данной сделки определяются по усмотрению единоличного исполнительного органа Поручителя или иного уполномоченного лица.</w:t>
      </w:r>
    </w:p>
    <w:p w:rsidR="00183711" w:rsidRPr="00183711" w:rsidRDefault="00183711" w:rsidP="00183711">
      <w:pPr>
        <w:jc w:val="both"/>
      </w:pPr>
    </w:p>
    <w:p w:rsidR="00183711" w:rsidRPr="00183711" w:rsidRDefault="00183711" w:rsidP="00183711">
      <w:pPr>
        <w:jc w:val="both"/>
        <w:rPr>
          <w:b/>
        </w:rPr>
      </w:pPr>
      <w:r w:rsidRPr="00183711">
        <w:rPr>
          <w:u w:val="single"/>
        </w:rPr>
        <w:t>Цена сделки:</w:t>
      </w:r>
      <w:r w:rsidRPr="00183711">
        <w:t xml:space="preserve"> определена из расчета </w:t>
      </w:r>
      <w:r w:rsidRPr="00183711">
        <w:rPr>
          <w:lang w:eastAsia="en-US"/>
        </w:rPr>
        <w:t>Совокупной Суммы Использования Линии по Соглашению</w:t>
      </w:r>
      <w:r w:rsidRPr="00183711">
        <w:rPr>
          <w:b/>
        </w:rPr>
        <w:t xml:space="preserve"> в размере </w:t>
      </w:r>
      <w:r w:rsidRPr="00183711">
        <w:rPr>
          <w:b/>
          <w:lang w:eastAsia="en-US"/>
        </w:rPr>
        <w:t xml:space="preserve">5 600 000 000 (Пять миллиардов шестьсот миллионов) рублей </w:t>
      </w:r>
      <w:r w:rsidRPr="00183711">
        <w:rPr>
          <w:b/>
          <w:lang w:eastAsia="en-US"/>
        </w:rPr>
        <w:lastRenderedPageBreak/>
        <w:t>00 копеек</w:t>
      </w:r>
      <w:r w:rsidRPr="00183711">
        <w:rPr>
          <w:b/>
        </w:rPr>
        <w:t>, что составляет 133,68% от балансовой стоимости активов Поручителя по состоянию на 31.12.2017г.</w:t>
      </w:r>
    </w:p>
    <w:p w:rsidR="00183711" w:rsidRPr="00183711" w:rsidRDefault="00183711" w:rsidP="00183711">
      <w:pPr>
        <w:jc w:val="both"/>
      </w:pPr>
    </w:p>
    <w:p w:rsidR="00183711" w:rsidRPr="00183711" w:rsidRDefault="00183711" w:rsidP="00183711">
      <w:pPr>
        <w:ind w:right="-5"/>
        <w:jc w:val="both"/>
        <w:rPr>
          <w:i/>
        </w:rPr>
      </w:pPr>
      <w:r w:rsidRPr="00183711">
        <w:rPr>
          <w:i/>
        </w:rPr>
        <w:t xml:space="preserve">Согласно п.6 ст.83 Федерального закона </w:t>
      </w:r>
      <w:r w:rsidRPr="00183711">
        <w:rPr>
          <w:i/>
          <w:iCs/>
        </w:rPr>
        <w:t>от 26.12.1995 N 208-ФЗ «Об акционерных обществах» указываются сведения о з</w:t>
      </w:r>
      <w:r w:rsidRPr="00183711">
        <w:rPr>
          <w:i/>
        </w:rPr>
        <w:t>аинтересованных в совершении сделки лицах и основаниях заинтересованности таких лиц:</w:t>
      </w:r>
    </w:p>
    <w:p w:rsidR="00183711" w:rsidRPr="00183711" w:rsidRDefault="00183711" w:rsidP="00183711">
      <w:pPr>
        <w:jc w:val="both"/>
      </w:pPr>
      <w:r w:rsidRPr="00183711">
        <w:t xml:space="preserve">1). косвенно контролирующее лицо Общества - АО «Группа ГМС» (является контролирующим лицом АО «ГМС </w:t>
      </w:r>
      <w:proofErr w:type="gramStart"/>
      <w:r w:rsidRPr="00183711">
        <w:t>Нефтемаш»</w:t>
      </w:r>
      <w:r w:rsidRPr="00183711">
        <w:rPr>
          <w:iCs/>
        </w:rPr>
        <w:t xml:space="preserve"> </w:t>
      </w:r>
      <w:r w:rsidRPr="00183711">
        <w:t xml:space="preserve"> -</w:t>
      </w:r>
      <w:proofErr w:type="gramEnd"/>
      <w:r w:rsidRPr="00183711">
        <w:t xml:space="preserve"> выгодоприобретателя по сделке);</w:t>
      </w:r>
    </w:p>
    <w:p w:rsidR="00183711" w:rsidRPr="00183711" w:rsidRDefault="00183711" w:rsidP="00183711">
      <w:pPr>
        <w:jc w:val="both"/>
      </w:pPr>
      <w:r w:rsidRPr="00183711">
        <w:t xml:space="preserve">2). косвенно контролирующее лицо Общества - HMS HYDRAULIC MACHINES &amp; SYSTEMS GROUP PLC (является косвенно контролирующим лицом АО «ГМС </w:t>
      </w:r>
      <w:proofErr w:type="gramStart"/>
      <w:r w:rsidRPr="00183711">
        <w:t>Нефтемаш»</w:t>
      </w:r>
      <w:r w:rsidRPr="00183711">
        <w:rPr>
          <w:iCs/>
        </w:rPr>
        <w:t xml:space="preserve"> </w:t>
      </w:r>
      <w:r w:rsidRPr="00183711">
        <w:t xml:space="preserve"> -</w:t>
      </w:r>
      <w:proofErr w:type="gramEnd"/>
      <w:r w:rsidRPr="00183711">
        <w:t xml:space="preserve"> выгодоприобретателя по сделке);</w:t>
      </w:r>
    </w:p>
    <w:p w:rsidR="00183711" w:rsidRPr="00183711" w:rsidRDefault="00183711" w:rsidP="00183711">
      <w:pPr>
        <w:jc w:val="both"/>
      </w:pPr>
      <w:r w:rsidRPr="00183711">
        <w:t xml:space="preserve">3). члены совета директоров Общества </w:t>
      </w:r>
      <w:proofErr w:type="spellStart"/>
      <w:r w:rsidRPr="00183711">
        <w:t>Скрынник</w:t>
      </w:r>
      <w:proofErr w:type="spellEnd"/>
      <w:r w:rsidRPr="00183711">
        <w:t xml:space="preserve"> Ю.Н., Игнатов А.В., Новиков А.Е. (являются членами совета директоров АО «ГМС </w:t>
      </w:r>
      <w:proofErr w:type="gramStart"/>
      <w:r w:rsidRPr="00183711">
        <w:t>Нефтемаш»</w:t>
      </w:r>
      <w:r w:rsidRPr="00183711">
        <w:rPr>
          <w:iCs/>
        </w:rPr>
        <w:t xml:space="preserve"> </w:t>
      </w:r>
      <w:r w:rsidRPr="00183711">
        <w:t xml:space="preserve"> -</w:t>
      </w:r>
      <w:proofErr w:type="gramEnd"/>
      <w:r w:rsidRPr="00183711">
        <w:t xml:space="preserve"> выгодоприобретателя по сделке);</w:t>
      </w:r>
    </w:p>
    <w:p w:rsidR="00183711" w:rsidRPr="00183711" w:rsidRDefault="00183711" w:rsidP="00183711">
      <w:pPr>
        <w:jc w:val="both"/>
      </w:pPr>
      <w:r w:rsidRPr="00183711">
        <w:t xml:space="preserve">4). управляющая организация Общества - ООО «УК «Группа ГМС» (является также управляющей организацией АО «ГМС </w:t>
      </w:r>
      <w:proofErr w:type="gramStart"/>
      <w:r w:rsidRPr="00183711">
        <w:t>Нефтемаш»</w:t>
      </w:r>
      <w:r w:rsidRPr="00183711">
        <w:rPr>
          <w:iCs/>
        </w:rPr>
        <w:t xml:space="preserve"> </w:t>
      </w:r>
      <w:r w:rsidRPr="00183711">
        <w:t xml:space="preserve"> -</w:t>
      </w:r>
      <w:proofErr w:type="gramEnd"/>
      <w:r w:rsidRPr="00183711">
        <w:t xml:space="preserve"> выгодоприобретателя по сделке).</w:t>
      </w:r>
    </w:p>
    <w:p w:rsidR="007116E6" w:rsidRDefault="007116E6" w:rsidP="007116E6">
      <w:pPr>
        <w:jc w:val="both"/>
        <w:rPr>
          <w:b/>
          <w:caps/>
        </w:rPr>
      </w:pPr>
    </w:p>
    <w:p w:rsidR="007116E6" w:rsidRPr="00C259A4" w:rsidRDefault="007116E6" w:rsidP="007116E6">
      <w:pPr>
        <w:jc w:val="both"/>
        <w:rPr>
          <w:b/>
          <w:caps/>
        </w:rPr>
      </w:pPr>
      <w:r>
        <w:rPr>
          <w:b/>
          <w:caps/>
        </w:rPr>
        <w:t>По вопросу № 3</w:t>
      </w:r>
      <w:r w:rsidRPr="00C259A4">
        <w:rPr>
          <w:b/>
          <w:caps/>
        </w:rPr>
        <w:t xml:space="preserve">: </w:t>
      </w:r>
    </w:p>
    <w:p w:rsidR="003E2ACD" w:rsidRPr="003E2ACD" w:rsidRDefault="003E2ACD" w:rsidP="003E2ACD">
      <w:pPr>
        <w:tabs>
          <w:tab w:val="left" w:pos="993"/>
        </w:tabs>
        <w:jc w:val="both"/>
        <w:rPr>
          <w:lang w:eastAsia="en-US"/>
        </w:rPr>
      </w:pPr>
      <w:r w:rsidRPr="003E2ACD">
        <w:t xml:space="preserve">О последующем одобрении крупной сделки Общества с </w:t>
      </w:r>
      <w:r w:rsidRPr="003E2ACD">
        <w:rPr>
          <w:lang w:eastAsia="en-US"/>
        </w:rPr>
        <w:t>АО «</w:t>
      </w:r>
      <w:proofErr w:type="spellStart"/>
      <w:r w:rsidRPr="003E2ACD">
        <w:rPr>
          <w:lang w:eastAsia="en-US"/>
        </w:rPr>
        <w:t>ЮниКредит</w:t>
      </w:r>
      <w:proofErr w:type="spellEnd"/>
      <w:r w:rsidRPr="003E2ACD">
        <w:rPr>
          <w:lang w:eastAsia="en-US"/>
        </w:rPr>
        <w:t xml:space="preserve"> Банк»</w:t>
      </w:r>
      <w:r w:rsidRPr="003E2ACD">
        <w:t xml:space="preserve">, в совершении которой имеется заинтересованность - </w:t>
      </w:r>
      <w:r w:rsidRPr="003E2ACD">
        <w:rPr>
          <w:lang w:eastAsia="en-US"/>
        </w:rPr>
        <w:t xml:space="preserve">договора поручительства в обеспечение исполнения обязательств </w:t>
      </w:r>
      <w:r w:rsidRPr="003E2ACD">
        <w:t>ОАО «Казанский завод компрессорного машиностроения» по Соглашению №001/0153L/15 о специальных условиях предоставления револьверной линии для осуществления документарных операций от «21» апреля 2015г., заключенного между ОАО «Казанский завод компрессорного машиностроения» и АО «</w:t>
      </w:r>
      <w:proofErr w:type="spellStart"/>
      <w:r w:rsidRPr="003E2ACD">
        <w:t>ЮниКредит</w:t>
      </w:r>
      <w:proofErr w:type="spellEnd"/>
      <w:r w:rsidRPr="003E2ACD">
        <w:t xml:space="preserve"> Банк»</w:t>
      </w:r>
      <w:r w:rsidRPr="003E2ACD">
        <w:rPr>
          <w:lang w:eastAsia="en-US"/>
        </w:rPr>
        <w:t>.</w:t>
      </w:r>
    </w:p>
    <w:p w:rsidR="007116E6" w:rsidRPr="00C259A4" w:rsidRDefault="007116E6" w:rsidP="007116E6">
      <w:pPr>
        <w:spacing w:before="120" w:after="120"/>
        <w:jc w:val="both"/>
        <w:rPr>
          <w:b/>
          <w:bCs/>
        </w:rPr>
      </w:pPr>
      <w:r w:rsidRPr="00C259A4">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7116E6" w:rsidTr="00FA7DF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7116E6" w:rsidRDefault="007116E6" w:rsidP="00FA7DF4">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sz w:val="22"/>
                <w:szCs w:val="22"/>
              </w:rPr>
            </w:pPr>
            <w:r>
              <w:rPr>
                <w:sz w:val="22"/>
                <w:szCs w:val="22"/>
              </w:rPr>
              <w:t>Сделка с заинтересованностью</w:t>
            </w:r>
          </w:p>
        </w:tc>
      </w:tr>
      <w:tr w:rsidR="007116E6" w:rsidTr="00FA7DF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b/>
                <w:sz w:val="22"/>
                <w:szCs w:val="22"/>
              </w:rPr>
            </w:pPr>
            <w:r>
              <w:rPr>
                <w:b/>
                <w:sz w:val="22"/>
                <w:szCs w:val="22"/>
              </w:rPr>
              <w:t>%</w:t>
            </w:r>
          </w:p>
        </w:tc>
      </w:tr>
      <w:tr w:rsidR="007116E6" w:rsidTr="00FA7DF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7116E6" w:rsidRPr="00310CE2" w:rsidRDefault="007116E6" w:rsidP="00FA7DF4">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7116E6" w:rsidRDefault="007116E6" w:rsidP="00FA7DF4">
            <w:pPr>
              <w:overflowPunct w:val="0"/>
              <w:autoSpaceDE w:val="0"/>
              <w:autoSpaceDN w:val="0"/>
              <w:adjustRightInd w:val="0"/>
              <w:jc w:val="right"/>
              <w:rPr>
                <w:bCs/>
                <w:sz w:val="22"/>
                <w:szCs w:val="22"/>
              </w:rPr>
            </w:pPr>
            <w:r>
              <w:rPr>
                <w:bCs/>
                <w:sz w:val="22"/>
                <w:szCs w:val="22"/>
              </w:rPr>
              <w:t>1 774 348</w:t>
            </w:r>
          </w:p>
        </w:tc>
        <w:tc>
          <w:tcPr>
            <w:tcW w:w="1594" w:type="dxa"/>
            <w:tcBorders>
              <w:top w:val="single" w:sz="6" w:space="0" w:color="000000"/>
              <w:left w:val="single" w:sz="6" w:space="0" w:color="000000"/>
              <w:bottom w:val="single" w:sz="6" w:space="0" w:color="000000"/>
              <w:right w:val="single" w:sz="6" w:space="0" w:color="000000"/>
            </w:tcBorders>
            <w:hideMark/>
          </w:tcPr>
          <w:p w:rsidR="007116E6" w:rsidRDefault="007116E6" w:rsidP="00FA7DF4">
            <w:pPr>
              <w:overflowPunct w:val="0"/>
              <w:autoSpaceDE w:val="0"/>
              <w:autoSpaceDN w:val="0"/>
              <w:adjustRightInd w:val="0"/>
              <w:jc w:val="right"/>
              <w:rPr>
                <w:bCs/>
                <w:sz w:val="22"/>
                <w:szCs w:val="22"/>
              </w:rPr>
            </w:pPr>
            <w:r>
              <w:rPr>
                <w:bCs/>
                <w:sz w:val="22"/>
                <w:szCs w:val="22"/>
              </w:rPr>
              <w:t>100</w:t>
            </w:r>
          </w:p>
        </w:tc>
      </w:tr>
      <w:tr w:rsidR="007116E6" w:rsidTr="00FA7DF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7116E6" w:rsidRDefault="007116E6" w:rsidP="00FA7DF4">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7116E6" w:rsidRDefault="007116E6" w:rsidP="00FA7DF4">
            <w:pPr>
              <w:overflowPunct w:val="0"/>
              <w:autoSpaceDE w:val="0"/>
              <w:autoSpaceDN w:val="0"/>
              <w:adjustRightInd w:val="0"/>
              <w:jc w:val="right"/>
              <w:rPr>
                <w:sz w:val="22"/>
                <w:szCs w:val="22"/>
              </w:rPr>
            </w:pPr>
            <w:r>
              <w:rPr>
                <w:sz w:val="22"/>
                <w:szCs w:val="22"/>
              </w:rPr>
              <w:t>0</w:t>
            </w:r>
          </w:p>
        </w:tc>
      </w:tr>
      <w:tr w:rsidR="007116E6" w:rsidTr="00FA7DF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7116E6" w:rsidRDefault="007116E6" w:rsidP="00FA7DF4">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7116E6" w:rsidRDefault="007116E6" w:rsidP="00FA7DF4">
            <w:pPr>
              <w:overflowPunct w:val="0"/>
              <w:autoSpaceDE w:val="0"/>
              <w:autoSpaceDN w:val="0"/>
              <w:adjustRightInd w:val="0"/>
              <w:jc w:val="right"/>
              <w:rPr>
                <w:sz w:val="22"/>
                <w:szCs w:val="22"/>
              </w:rPr>
            </w:pPr>
            <w:r>
              <w:rPr>
                <w:sz w:val="22"/>
                <w:szCs w:val="22"/>
              </w:rPr>
              <w:t>0</w:t>
            </w:r>
          </w:p>
        </w:tc>
      </w:tr>
    </w:tbl>
    <w:p w:rsidR="007116E6" w:rsidRDefault="007116E6" w:rsidP="007116E6">
      <w:pPr>
        <w:tabs>
          <w:tab w:val="left" w:pos="9000"/>
        </w:tabs>
        <w:rPr>
          <w:b/>
          <w:bCs/>
          <w:sz w:val="20"/>
          <w:szCs w:val="20"/>
        </w:rPr>
      </w:pPr>
    </w:p>
    <w:p w:rsidR="007116E6" w:rsidRPr="00C259A4" w:rsidRDefault="007116E6" w:rsidP="007116E6">
      <w:pPr>
        <w:tabs>
          <w:tab w:val="left" w:pos="9000"/>
        </w:tabs>
        <w:rPr>
          <w:b/>
          <w:bCs/>
        </w:rPr>
      </w:pPr>
      <w:r w:rsidRPr="00C259A4">
        <w:rPr>
          <w:b/>
          <w:bCs/>
        </w:rPr>
        <w:t>Кворум для принятия решения по данному вопросу имеется.</w:t>
      </w:r>
    </w:p>
    <w:p w:rsidR="007116E6" w:rsidRPr="00C259A4" w:rsidRDefault="007116E6" w:rsidP="007116E6">
      <w:pPr>
        <w:tabs>
          <w:tab w:val="left" w:pos="2660"/>
          <w:tab w:val="left" w:pos="10704"/>
        </w:tabs>
        <w:spacing w:before="120"/>
        <w:jc w:val="both"/>
      </w:pPr>
      <w:r w:rsidRPr="00C259A4">
        <w:rPr>
          <w:b/>
        </w:rPr>
        <w:t>Принято решение</w:t>
      </w:r>
      <w:r w:rsidRPr="00C259A4">
        <w:t xml:space="preserve">: </w:t>
      </w:r>
    </w:p>
    <w:p w:rsidR="003E2ACD" w:rsidRPr="003E2ACD" w:rsidRDefault="003E2ACD" w:rsidP="00D87119">
      <w:pPr>
        <w:jc w:val="both"/>
        <w:rPr>
          <w:szCs w:val="20"/>
          <w:lang w:eastAsia="x-none"/>
        </w:rPr>
      </w:pPr>
      <w:r w:rsidRPr="003E2ACD">
        <w:rPr>
          <w:szCs w:val="20"/>
          <w:lang w:val="x-none" w:eastAsia="x-none"/>
        </w:rPr>
        <w:t>Одобрить заключение Обществом крупной сделки</w:t>
      </w:r>
      <w:r w:rsidRPr="003E2ACD">
        <w:rPr>
          <w:lang w:val="x-none" w:eastAsia="x-none"/>
        </w:rPr>
        <w:t xml:space="preserve"> с </w:t>
      </w:r>
      <w:r w:rsidRPr="003E2ACD">
        <w:rPr>
          <w:lang w:val="x-none" w:eastAsia="en-US"/>
        </w:rPr>
        <w:t>АО «</w:t>
      </w:r>
      <w:proofErr w:type="spellStart"/>
      <w:r w:rsidRPr="003E2ACD">
        <w:rPr>
          <w:lang w:val="x-none" w:eastAsia="en-US"/>
        </w:rPr>
        <w:t>ЮниКредит</w:t>
      </w:r>
      <w:proofErr w:type="spellEnd"/>
      <w:r w:rsidRPr="003E2ACD">
        <w:rPr>
          <w:lang w:val="x-none" w:eastAsia="en-US"/>
        </w:rPr>
        <w:t xml:space="preserve"> Банк»</w:t>
      </w:r>
      <w:r w:rsidRPr="003E2ACD">
        <w:rPr>
          <w:szCs w:val="20"/>
          <w:lang w:val="x-none" w:eastAsia="en-US"/>
        </w:rPr>
        <w:t xml:space="preserve"> (далее –Банк)</w:t>
      </w:r>
      <w:r w:rsidRPr="003E2ACD">
        <w:rPr>
          <w:lang w:val="x-none" w:eastAsia="x-none"/>
        </w:rPr>
        <w:t xml:space="preserve">, в совершении которой имеется заинтересованность - </w:t>
      </w:r>
      <w:r w:rsidRPr="003E2ACD">
        <w:rPr>
          <w:lang w:val="x-none" w:eastAsia="en-US"/>
        </w:rPr>
        <w:t>договора поручительства в обеспечение исполнения обязательств</w:t>
      </w:r>
      <w:r w:rsidRPr="003E2ACD">
        <w:rPr>
          <w:lang w:val="x-none" w:eastAsia="x-none"/>
        </w:rPr>
        <w:t xml:space="preserve"> ОАО «Казанский завод компрессорного машиностроения» </w:t>
      </w:r>
      <w:r w:rsidRPr="003E2ACD">
        <w:rPr>
          <w:szCs w:val="20"/>
          <w:lang w:val="x-none" w:eastAsia="x-none"/>
        </w:rPr>
        <w:t xml:space="preserve">по Соглашению </w:t>
      </w:r>
      <w:r w:rsidRPr="003E2ACD">
        <w:rPr>
          <w:lang w:val="x-none" w:eastAsia="x-none"/>
        </w:rPr>
        <w:t xml:space="preserve">№001/0153L/15 </w:t>
      </w:r>
      <w:r w:rsidRPr="003E2ACD">
        <w:rPr>
          <w:szCs w:val="20"/>
          <w:lang w:val="x-none" w:eastAsia="x-none"/>
        </w:rPr>
        <w:t xml:space="preserve">о специальных условиях предоставления револьверной линии </w:t>
      </w:r>
      <w:r w:rsidRPr="003E2ACD">
        <w:rPr>
          <w:szCs w:val="20"/>
          <w:lang w:val="x-none" w:eastAsia="en-US"/>
        </w:rPr>
        <w:t xml:space="preserve">(далее - Линии) </w:t>
      </w:r>
      <w:r w:rsidRPr="003E2ACD">
        <w:rPr>
          <w:szCs w:val="20"/>
          <w:lang w:val="x-none" w:eastAsia="x-none"/>
        </w:rPr>
        <w:t>для осуществления документарных операций от «</w:t>
      </w:r>
      <w:r w:rsidRPr="003E2ACD">
        <w:rPr>
          <w:szCs w:val="20"/>
          <w:lang w:eastAsia="x-none"/>
        </w:rPr>
        <w:t>21</w:t>
      </w:r>
      <w:r w:rsidRPr="003E2ACD">
        <w:rPr>
          <w:szCs w:val="20"/>
          <w:lang w:val="x-none" w:eastAsia="x-none"/>
        </w:rPr>
        <w:t xml:space="preserve">» апреля 2015г. между </w:t>
      </w:r>
      <w:r w:rsidRPr="003E2ACD">
        <w:rPr>
          <w:lang w:val="x-none" w:eastAsia="x-none"/>
        </w:rPr>
        <w:t>ОАО «Казанский завод компрессорного машиностроения»</w:t>
      </w:r>
      <w:r w:rsidRPr="003E2ACD">
        <w:rPr>
          <w:szCs w:val="20"/>
          <w:lang w:val="x-none" w:eastAsia="en-US"/>
        </w:rPr>
        <w:t xml:space="preserve"> (далее – Клиент) </w:t>
      </w:r>
      <w:r w:rsidRPr="003E2ACD">
        <w:rPr>
          <w:szCs w:val="20"/>
          <w:lang w:val="x-none" w:eastAsia="x-none"/>
        </w:rPr>
        <w:t>и Банком (далее - Соглашение)</w:t>
      </w:r>
      <w:r w:rsidRPr="003E2ACD">
        <w:rPr>
          <w:szCs w:val="20"/>
          <w:lang w:eastAsia="x-none"/>
        </w:rPr>
        <w:t xml:space="preserve"> на следующих условиях: </w:t>
      </w:r>
    </w:p>
    <w:p w:rsidR="003E2ACD" w:rsidRPr="003E2ACD" w:rsidRDefault="003E2ACD" w:rsidP="003E2ACD">
      <w:pPr>
        <w:rPr>
          <w:u w:val="single"/>
        </w:rPr>
      </w:pPr>
    </w:p>
    <w:p w:rsidR="003E2ACD" w:rsidRPr="003E2ACD" w:rsidRDefault="003E2ACD" w:rsidP="003E2ACD">
      <w:pPr>
        <w:rPr>
          <w:u w:val="single"/>
        </w:rPr>
      </w:pPr>
      <w:r w:rsidRPr="003E2ACD">
        <w:rPr>
          <w:u w:val="single"/>
        </w:rPr>
        <w:t>Стороны сделки:</w:t>
      </w:r>
    </w:p>
    <w:p w:rsidR="003E2ACD" w:rsidRPr="003E2ACD" w:rsidRDefault="003E2ACD" w:rsidP="003E2ACD">
      <w:r w:rsidRPr="003E2ACD">
        <w:t>Банк: Акционерное общество</w:t>
      </w:r>
      <w:r w:rsidRPr="003E2ACD">
        <w:rPr>
          <w:lang w:eastAsia="en-US"/>
        </w:rPr>
        <w:t xml:space="preserve"> «</w:t>
      </w:r>
      <w:proofErr w:type="spellStart"/>
      <w:r w:rsidRPr="003E2ACD">
        <w:rPr>
          <w:lang w:eastAsia="en-US"/>
        </w:rPr>
        <w:t>ЮниКредит</w:t>
      </w:r>
      <w:proofErr w:type="spellEnd"/>
      <w:r w:rsidRPr="003E2ACD">
        <w:rPr>
          <w:lang w:eastAsia="en-US"/>
        </w:rPr>
        <w:t xml:space="preserve"> Банк»</w:t>
      </w:r>
    </w:p>
    <w:p w:rsidR="003E2ACD" w:rsidRPr="003E2ACD" w:rsidRDefault="003E2ACD" w:rsidP="003E2ACD">
      <w:pPr>
        <w:jc w:val="both"/>
      </w:pPr>
      <w:r w:rsidRPr="003E2ACD">
        <w:t>Поручитель: Акционерное общество «</w:t>
      </w:r>
      <w:proofErr w:type="spellStart"/>
      <w:r w:rsidRPr="003E2ACD">
        <w:t>Сибнефтемаш</w:t>
      </w:r>
      <w:proofErr w:type="spellEnd"/>
      <w:r w:rsidRPr="003E2ACD">
        <w:t>»</w:t>
      </w:r>
    </w:p>
    <w:p w:rsidR="003E2ACD" w:rsidRPr="003E2ACD" w:rsidRDefault="003E2ACD" w:rsidP="00D87119">
      <w:pPr>
        <w:jc w:val="both"/>
        <w:rPr>
          <w:u w:val="single"/>
          <w:lang w:eastAsia="x-none"/>
        </w:rPr>
      </w:pPr>
    </w:p>
    <w:p w:rsidR="003E2ACD" w:rsidRPr="003E2ACD" w:rsidRDefault="003E2ACD" w:rsidP="003E2ACD">
      <w:pPr>
        <w:rPr>
          <w:u w:val="single"/>
        </w:rPr>
      </w:pPr>
      <w:r w:rsidRPr="003E2ACD">
        <w:rPr>
          <w:u w:val="single"/>
        </w:rPr>
        <w:t>Существенные условия сделки:</w:t>
      </w:r>
    </w:p>
    <w:p w:rsidR="003E2ACD" w:rsidRPr="003E2ACD" w:rsidRDefault="003E2ACD" w:rsidP="003E2ACD">
      <w:pPr>
        <w:rPr>
          <w:u w:val="single"/>
        </w:rPr>
      </w:pPr>
      <w:r w:rsidRPr="003E2ACD">
        <w:rPr>
          <w:u w:val="single"/>
        </w:rPr>
        <w:t>1. Существенные условия Соглашения:</w:t>
      </w:r>
    </w:p>
    <w:p w:rsidR="003E2ACD" w:rsidRPr="003E2ACD" w:rsidRDefault="003E2ACD" w:rsidP="003E2ACD">
      <w:pPr>
        <w:ind w:firstLine="708"/>
        <w:jc w:val="both"/>
      </w:pPr>
      <w:r w:rsidRPr="003E2ACD">
        <w:t>Лимит Линии в размере 5 600 000 000,00 (Пять миллиардов шестьсот миллионов) рублей РФ. Срок действия Соглашения – до «03» июля 2022г. Датой окончания Срока действия Линии является «03» июля 2022г.</w:t>
      </w:r>
    </w:p>
    <w:p w:rsidR="003E2ACD" w:rsidRPr="003E2ACD" w:rsidRDefault="003E2ACD" w:rsidP="003E2ACD">
      <w:pPr>
        <w:jc w:val="both"/>
      </w:pPr>
      <w:r w:rsidRPr="003E2ACD">
        <w:lastRenderedPageBreak/>
        <w:t xml:space="preserve">Цели использования Линии - выдача, увеличение суммы, продление срока действия гарантий </w:t>
      </w:r>
      <w:r w:rsidRPr="003E2ACD">
        <w:rPr>
          <w:i/>
          <w:lang w:eastAsia="en-US"/>
        </w:rPr>
        <w:t xml:space="preserve">(под гарантиями подразумеваются, в случае соответствующих обращений Клиента, также </w:t>
      </w:r>
      <w:proofErr w:type="spellStart"/>
      <w:r w:rsidRPr="003E2ACD">
        <w:rPr>
          <w:i/>
          <w:lang w:eastAsia="en-US"/>
        </w:rPr>
        <w:t>контргарантии</w:t>
      </w:r>
      <w:proofErr w:type="spellEnd"/>
      <w:r w:rsidRPr="003E2ACD">
        <w:rPr>
          <w:i/>
          <w:lang w:eastAsia="en-US"/>
        </w:rPr>
        <w:t>, гарантии по обязательствам третьего лица и резервные аккредитивы (в отношении резервных аккредитивов - только по трансграничным сделкам)</w:t>
      </w:r>
      <w:r w:rsidRPr="003E2ACD">
        <w:t xml:space="preserve"> в рублях РФ, долларах США и евро, перевод гарантий, выданных на условиях иных соглашений о выдаче гарантий, с предоставлением/без предоставления или частичным предоставлением Клиентом денежного покрытия, в Лимит Линии.</w:t>
      </w:r>
    </w:p>
    <w:p w:rsidR="003E2ACD" w:rsidRPr="003E2ACD" w:rsidRDefault="003E2ACD" w:rsidP="003E2ACD">
      <w:pPr>
        <w:jc w:val="both"/>
      </w:pPr>
      <w:r w:rsidRPr="003E2ACD">
        <w:t>Комиссия за управление в размере 42.500,00 (Сорок две тысячи пятьсот) Евро, подлежит уплате Клиентом в Рублях по курсу Банка России на дату платежа независимо от того осуществлялись ли операции в рамках Линии или нет единовременно в течение 5 (Пять) рабочих дней с даты подписания Соглашения.</w:t>
      </w:r>
    </w:p>
    <w:p w:rsidR="003E2ACD" w:rsidRPr="003E2ACD" w:rsidRDefault="003E2ACD" w:rsidP="003E2ACD">
      <w:pPr>
        <w:jc w:val="both"/>
      </w:pPr>
      <w:r w:rsidRPr="003E2ACD">
        <w:t>Клиент уплатит Банку комиссию за открытие/выдачу, увеличение суммы, продление срока действия аккредитива/гарантии в размере, установленном Сторонами в соответствующем Заявлении/Поручении в порядке, определенном подпунктом 5.2.4. пункта 5.2. Статьи 5 Соглашения, но не более 2,5% (Две целых пять десятых процента) годовых, начисляемую на сумму аккредитива/гарантии, сумму увеличения суммы аккредитива/ гарантии, но не менее 200,00 (Двести) Долларов США или эквивалента этой суммы в другой валюте по курсу Банка России на дату платежа, за каждый период, состоящий из 90 (Девяносто) последовательных календарных дней («Комиссионный период») или его часть (для последнего Комиссионного периода). Первый Комиссионный период начинается в дату открытия аккредитива/выдачи гарантии. Последний Комиссионный период заканчивается в дату окончания срока действия аккредитива/гарантии (в том числе с учетом продления срока действия аккредитива/гарантии) или в дату последнего платежа по аккредитиву/гарантии (в зависимости от того, какая из дат наступит ранее).</w:t>
      </w:r>
    </w:p>
    <w:p w:rsidR="003E2ACD" w:rsidRPr="003E2ACD" w:rsidRDefault="003E2ACD" w:rsidP="003E2ACD">
      <w:pPr>
        <w:jc w:val="both"/>
      </w:pPr>
      <w:r w:rsidRPr="003E2ACD">
        <w:t>Комиссия начисляется с учетом фактического количества дней действия аккредитива/гарантии и действительного количества дней в Комиссионном периоде, начиная с даты открытия аккредитива/выдачи гарантии и до даты истечения срока действия аккредитива/гарантии (включая обе даты), в том числе с учетом продления срока действия аккредитива/гарантии.</w:t>
      </w:r>
    </w:p>
    <w:p w:rsidR="003E2ACD" w:rsidRPr="003E2ACD" w:rsidRDefault="003E2ACD" w:rsidP="003E2ACD">
      <w:pPr>
        <w:tabs>
          <w:tab w:val="left" w:pos="1125"/>
        </w:tabs>
        <w:jc w:val="both"/>
      </w:pPr>
      <w:r w:rsidRPr="003E2ACD">
        <w:t xml:space="preserve">      Комиссия за открытие аккредитива/выдачу гарантии начисляется на сумму аккредитива/гарантии, определяемую по состоянию на начало каждого рабочего дня оплачиваемого Комиссионного периода, за вычетом осуществленных платежей и с учетом увеличения/уменьшения суммы аккредитива/гарантии, если они имели место ранее. </w:t>
      </w:r>
    </w:p>
    <w:p w:rsidR="003E2ACD" w:rsidRPr="003E2ACD" w:rsidRDefault="003E2ACD" w:rsidP="003E2ACD">
      <w:pPr>
        <w:jc w:val="both"/>
      </w:pPr>
      <w:r w:rsidRPr="003E2ACD">
        <w:t xml:space="preserve">     Комиссия за открытие аккредитива/выдачу гарантии уплачивается в последний рабочий день каждого оплачиваемого Комиссионного периода, или в дату окончания срока действия аккредитива/гарантии</w:t>
      </w:r>
      <w:r w:rsidRPr="003E2ACD" w:rsidDel="00C64B48">
        <w:t xml:space="preserve"> </w:t>
      </w:r>
      <w:r w:rsidRPr="003E2ACD">
        <w:t xml:space="preserve">(в том числе с учетом продления срока действия аккредитива/гарантии) или в дату последнего платежа по аккредитиву/гарантии (в зависимости от того, какая из дат наступит ранее). </w:t>
      </w:r>
    </w:p>
    <w:p w:rsidR="003E2ACD" w:rsidRPr="003E2ACD" w:rsidRDefault="003E2ACD" w:rsidP="003E2ACD">
      <w:pPr>
        <w:jc w:val="both"/>
      </w:pPr>
      <w:r w:rsidRPr="003E2ACD">
        <w:t xml:space="preserve">     Комиссия за увеличение суммы аккредитива/гарантии уплачивается Клиентом Банку одновременно с оплатой комиссии за открытие аккредитива/выдачу гарантии, в установленном порядке. </w:t>
      </w:r>
    </w:p>
    <w:p w:rsidR="003E2ACD" w:rsidRPr="003E2ACD" w:rsidRDefault="003E2ACD" w:rsidP="003E2ACD">
      <w:pPr>
        <w:jc w:val="both"/>
      </w:pPr>
      <w:r w:rsidRPr="003E2ACD">
        <w:t xml:space="preserve">    В случае если аккредитив предусматривает платеж с рассрочкой, Клиент уплатит Банку комиссию за рассрочку платежа в размере, установленном Сторонами в соответствующем Заявлении на открытие аккредитива в порядке, определенном подпунктом 5.2.4. пункта 5.2. Статьи 5 Соглашения, но не более 2,5% (Две целых пять десятых процента) годовых, начисляемых на сумму платежа по аккредитиву, но не менее 200,00 (Двести) Долларов США или эквивалента этой суммы в другой валюте по курсу Банка России на дату платежа, за каждый оплачиваемый Комиссионный период, как он был определен для оплаты комиссии за открытие аккредитива, начиная с даты принятия Банком обязательства платить с рассрочкой, что подтверждается выдачей Банком Клиенту документов по аккредитиву (начало первого Комиссионного периода) по дату окончания периода рассрочки платежа. </w:t>
      </w:r>
      <w:r w:rsidRPr="003E2ACD">
        <w:lastRenderedPageBreak/>
        <w:t>Датой окончания периода рассрочки платежа является дата осуществления отсроченного платежа по аккредитиву.</w:t>
      </w:r>
    </w:p>
    <w:p w:rsidR="003E2ACD" w:rsidRPr="003E2ACD" w:rsidRDefault="003E2ACD" w:rsidP="003E2ACD">
      <w:pPr>
        <w:jc w:val="both"/>
      </w:pPr>
      <w:r w:rsidRPr="003E2ACD">
        <w:t>Комиссия начисляется за каждый день периода рассрочки платежа, исходя из фактического количества дней в году.</w:t>
      </w:r>
    </w:p>
    <w:p w:rsidR="003E2ACD" w:rsidRPr="003E2ACD" w:rsidRDefault="003E2ACD" w:rsidP="003E2ACD">
      <w:pPr>
        <w:jc w:val="both"/>
      </w:pPr>
      <w:r w:rsidRPr="003E2ACD">
        <w:t>Комиссия за платеж с рассрочкой подлежит уплате Клиентом Банку в дату осуществления платежа по аккредитиву</w:t>
      </w:r>
    </w:p>
    <w:p w:rsidR="003E2ACD" w:rsidRPr="003E2ACD" w:rsidRDefault="003E2ACD" w:rsidP="003E2ACD">
      <w:pPr>
        <w:jc w:val="both"/>
      </w:pPr>
      <w:r w:rsidRPr="003E2ACD">
        <w:t>Прочие комиссии Банка взимаются в соответствии с «Тарифом комиссионного вознаграждения за выполнение акционерным обществом «</w:t>
      </w:r>
      <w:proofErr w:type="spellStart"/>
      <w:r w:rsidRPr="003E2ACD">
        <w:t>ЮниКредит</w:t>
      </w:r>
      <w:proofErr w:type="spellEnd"/>
      <w:r w:rsidRPr="003E2ACD">
        <w:t xml:space="preserve"> Банк» поручений клиентов – юридических лиц и индивидуальных предпринимателей» в редакции, действующей на дату начисления комиссии.</w:t>
      </w:r>
    </w:p>
    <w:p w:rsidR="003E2ACD" w:rsidRPr="003E2ACD" w:rsidRDefault="003E2ACD" w:rsidP="003E2ACD">
      <w:pPr>
        <w:jc w:val="both"/>
      </w:pPr>
      <w:r w:rsidRPr="003E2ACD">
        <w:t>При этом комиссия за аннуляцию гарантии (досрочное прекращение гарантии) не взимается.</w:t>
      </w:r>
    </w:p>
    <w:p w:rsidR="003E2ACD" w:rsidRPr="003E2ACD" w:rsidRDefault="003E2ACD" w:rsidP="003E2ACD">
      <w:pPr>
        <w:jc w:val="both"/>
      </w:pPr>
      <w:r w:rsidRPr="003E2ACD">
        <w:t>Клиент обязуется возместить Банку любую сумму, которую Банк выплатит по любой из гарантий, выданных в рамках Линии, в дату соответствующего платежа по любой из гарантий, оплатить в полном объеме и без каких-либо удержаний все комиссии Банка в предусмотренные Соглашением даты и возместить расходы, связанные с выдачей гарантий и их исполнением.</w:t>
      </w:r>
    </w:p>
    <w:p w:rsidR="003E2ACD" w:rsidRPr="003E2ACD" w:rsidRDefault="003E2ACD" w:rsidP="003E2ACD">
      <w:pPr>
        <w:jc w:val="both"/>
      </w:pPr>
      <w:r w:rsidRPr="003E2ACD">
        <w:t xml:space="preserve">   Неустойка в размере:</w:t>
      </w:r>
    </w:p>
    <w:p w:rsidR="003E2ACD" w:rsidRPr="003E2ACD" w:rsidRDefault="003E2ACD" w:rsidP="003E2ACD">
      <w:pPr>
        <w:jc w:val="both"/>
      </w:pPr>
      <w:r w:rsidRPr="003E2ACD">
        <w:rPr>
          <w:iCs/>
        </w:rPr>
        <w:t>- увеличенной в 2 (Два) раза</w:t>
      </w:r>
      <w:r w:rsidRPr="003E2ACD">
        <w:t xml:space="preserve"> </w:t>
      </w:r>
      <w:r w:rsidRPr="003E2ACD">
        <w:rPr>
          <w:iCs/>
          <w:color w:val="000000"/>
        </w:rPr>
        <w:t>ставки рефинансирования Банка России /</w:t>
      </w:r>
      <w:r w:rsidRPr="003E2ACD">
        <w:rPr>
          <w:i/>
          <w:iCs/>
        </w:rPr>
        <w:t xml:space="preserve"> </w:t>
      </w:r>
      <w:r w:rsidRPr="003E2ACD">
        <w:rPr>
          <w:iCs/>
        </w:rPr>
        <w:t>ключевой ставки Банка России (при этом учитывается максимальное значение из предложенных ставок)</w:t>
      </w:r>
      <w:r w:rsidRPr="003E2ACD">
        <w:rPr>
          <w:iCs/>
          <w:color w:val="000000"/>
        </w:rPr>
        <w:t xml:space="preserve"> Банка России </w:t>
      </w:r>
      <w:r w:rsidRPr="003E2ACD">
        <w:rPr>
          <w:color w:val="000000"/>
        </w:rPr>
        <w:t>или иной ставки, установленной Банком России или иным уполномоченным органом, которая будет заменять ставку рефинансирования</w:t>
      </w:r>
      <w:r w:rsidRPr="003E2ACD">
        <w:rPr>
          <w:iCs/>
          <w:color w:val="000000"/>
        </w:rPr>
        <w:t>, действующую на дату платежа по гарантии/аккредитиву / дату, установленную для уплаты комиссии – за нарушение обязательства в Рублях</w:t>
      </w:r>
      <w:r w:rsidRPr="003E2ACD">
        <w:t>,</w:t>
      </w:r>
    </w:p>
    <w:p w:rsidR="003E2ACD" w:rsidRPr="003E2ACD" w:rsidRDefault="003E2ACD" w:rsidP="003E2ACD">
      <w:pPr>
        <w:jc w:val="both"/>
      </w:pPr>
      <w:r w:rsidRPr="003E2ACD">
        <w:t>- 10% (Десять процентов) годовых - за нарушение обязательств в Долларах США и Евро, начисляется на сумму задолженности по возмещению Банку суммы платежа по гарантии / аккредитиву/ сумму задолженности по уплате Банку комиссий, с даты, следующей за датой платежа по гарантии/ аккредитиву / датой, установленной для уплаты комиссий, по дату предоставления Клиентом Банку соответствующего возмещения / дату уплаты комиссий включительно.</w:t>
      </w:r>
    </w:p>
    <w:p w:rsidR="003E2ACD" w:rsidRPr="003E2ACD" w:rsidRDefault="003E2ACD" w:rsidP="003E2ACD">
      <w:pPr>
        <w:jc w:val="both"/>
      </w:pPr>
    </w:p>
    <w:p w:rsidR="003E2ACD" w:rsidRPr="003E2ACD" w:rsidRDefault="003E2ACD" w:rsidP="003E2ACD">
      <w:pPr>
        <w:spacing w:line="276" w:lineRule="auto"/>
        <w:rPr>
          <w:u w:val="single"/>
        </w:rPr>
      </w:pPr>
      <w:r w:rsidRPr="003E2ACD">
        <w:rPr>
          <w:u w:val="single"/>
        </w:rPr>
        <w:t>2. Существенные условия Договора поручительства (сделки):</w:t>
      </w:r>
    </w:p>
    <w:p w:rsidR="003E2ACD" w:rsidRPr="003E2ACD" w:rsidRDefault="003E2ACD" w:rsidP="003E2ACD">
      <w:pPr>
        <w:spacing w:line="276" w:lineRule="auto"/>
        <w:ind w:firstLine="567"/>
        <w:jc w:val="both"/>
      </w:pPr>
      <w:r w:rsidRPr="003E2ACD">
        <w:t>Обеспечиваемое обязательство – обязательства Клиента по Соглашению, заключенному между Банком и Клиентом на существенных условиях, изложенных выше.</w:t>
      </w:r>
    </w:p>
    <w:p w:rsidR="003E2ACD" w:rsidRPr="003E2ACD" w:rsidRDefault="003E2ACD" w:rsidP="003E2ACD">
      <w:pPr>
        <w:spacing w:line="276" w:lineRule="auto"/>
        <w:ind w:firstLine="567"/>
        <w:jc w:val="both"/>
      </w:pPr>
      <w:r w:rsidRPr="003E2ACD">
        <w:t xml:space="preserve">В соответствии с Договором поручительства Поручитель </w:t>
      </w:r>
      <w:proofErr w:type="spellStart"/>
      <w:r w:rsidRPr="003E2ACD">
        <w:t>безотзывно</w:t>
      </w:r>
      <w:proofErr w:type="spellEnd"/>
      <w:r w:rsidRPr="003E2ACD">
        <w:t xml:space="preserve"> обязуется, солидарно с Клиентом, отвечать в том же объеме, что и Клиент, и выплачивать Банку по его первому требованию любые суммы, которые причитаются к уплате Банку Клиентом (с учетом указанных ниже пределов изменения условий Соглашения), в случае если Клиент не произведет какой-либо платеж в погашение задолженности в соответствии с условиями Соглашения.</w:t>
      </w:r>
    </w:p>
    <w:p w:rsidR="003E2ACD" w:rsidRPr="003E2ACD" w:rsidRDefault="003E2ACD" w:rsidP="003E2ACD">
      <w:pPr>
        <w:spacing w:line="276" w:lineRule="auto"/>
        <w:ind w:firstLine="567"/>
        <w:jc w:val="both"/>
      </w:pPr>
      <w:r w:rsidRPr="003E2ACD">
        <w:t>Под «задолженностью» понимаются расходы Банка, связанные с осуществлением Банком платежей по гарантиям/аккредитивам, выданным/открытым в рамках Линии, не возмещенные Клиентом в соответствии с условиями Соглашения, комиссии, неустойка, расходы и другие суммы, подлежащие уплате Клиентом в соответствии с условиями Соглашения.</w:t>
      </w:r>
    </w:p>
    <w:p w:rsidR="003E2ACD" w:rsidRPr="003E2ACD" w:rsidRDefault="003E2ACD" w:rsidP="003E2ACD">
      <w:pPr>
        <w:spacing w:line="276" w:lineRule="auto"/>
        <w:ind w:firstLine="567"/>
        <w:jc w:val="both"/>
      </w:pPr>
      <w:r w:rsidRPr="003E2ACD">
        <w:t xml:space="preserve">Предел ответственности Поручителя по Договору поручительства составляет сумму Лимита Линии, комиссий, неустойки, расходы и другие суммы, причитающиеся Банку по Соглашению (с учетом указанных ниже пределов изменения условий Соглашения), возможные издержки, связанные с его принудительным исполнением, а также сумму </w:t>
      </w:r>
      <w:r w:rsidRPr="003E2ACD">
        <w:lastRenderedPageBreak/>
        <w:t>требований о возврате полученного по Соглашению при его недействительности или о возврате неосновательного обогащения при признании Соглашения незаключенным с процентами за пользование чужими денежными средствами.</w:t>
      </w:r>
    </w:p>
    <w:p w:rsidR="003E2ACD" w:rsidRPr="003E2ACD" w:rsidRDefault="003E2ACD" w:rsidP="003E2ACD">
      <w:pPr>
        <w:spacing w:line="276" w:lineRule="auto"/>
        <w:ind w:firstLine="567"/>
        <w:jc w:val="both"/>
        <w:rPr>
          <w:b/>
        </w:rPr>
      </w:pPr>
      <w:r w:rsidRPr="003E2ACD">
        <w:rPr>
          <w:b/>
        </w:rPr>
        <w:t>Выгодоприобретателем по Договору поручительства является Клиент.</w:t>
      </w:r>
    </w:p>
    <w:p w:rsidR="003E2ACD" w:rsidRPr="003E2ACD" w:rsidRDefault="003E2ACD" w:rsidP="003E2ACD">
      <w:pPr>
        <w:spacing w:line="276" w:lineRule="auto"/>
        <w:ind w:firstLine="567"/>
        <w:jc w:val="both"/>
      </w:pPr>
      <w:r w:rsidRPr="003E2ACD">
        <w:t>В случае перевода долга по Соглашению на иное лицо, входящее в одну Группу с Клиентом, Поручитель настоящим дает свое согласие отвечать за надлежащее исполнение обязательств по Соглашению новым должником на условиях Договора поручительства без получения какого – либо дополнительного письменного согласия Поручителя.</w:t>
      </w:r>
    </w:p>
    <w:p w:rsidR="003E2ACD" w:rsidRPr="003E2ACD" w:rsidRDefault="003E2ACD" w:rsidP="003E2ACD">
      <w:pPr>
        <w:spacing w:line="276" w:lineRule="auto"/>
        <w:ind w:firstLine="567"/>
        <w:jc w:val="both"/>
      </w:pPr>
      <w:r w:rsidRPr="003E2ACD">
        <w:t xml:space="preserve">Под Группой понимаются HMS </w:t>
      </w:r>
      <w:proofErr w:type="spellStart"/>
      <w:r w:rsidRPr="003E2ACD">
        <w:t>Hydraulic</w:t>
      </w:r>
      <w:proofErr w:type="spellEnd"/>
      <w:r w:rsidRPr="003E2ACD">
        <w:t xml:space="preserve"> </w:t>
      </w:r>
      <w:proofErr w:type="spellStart"/>
      <w:r w:rsidRPr="003E2ACD">
        <w:t>Machines</w:t>
      </w:r>
      <w:proofErr w:type="spellEnd"/>
      <w:r w:rsidRPr="003E2ACD">
        <w:t xml:space="preserve"> &amp; </w:t>
      </w:r>
      <w:proofErr w:type="spellStart"/>
      <w:r w:rsidRPr="003E2ACD">
        <w:t>Systems</w:t>
      </w:r>
      <w:proofErr w:type="spellEnd"/>
      <w:r w:rsidRPr="003E2ACD">
        <w:t xml:space="preserve"> </w:t>
      </w:r>
      <w:proofErr w:type="spellStart"/>
      <w:r w:rsidRPr="003E2ACD">
        <w:t>Group</w:t>
      </w:r>
      <w:proofErr w:type="spellEnd"/>
      <w:r w:rsidRPr="003E2ACD">
        <w:t xml:space="preserve"> </w:t>
      </w:r>
      <w:proofErr w:type="spellStart"/>
      <w:r w:rsidRPr="003E2ACD">
        <w:t>Plc</w:t>
      </w:r>
      <w:proofErr w:type="spellEnd"/>
      <w:r w:rsidRPr="003E2ACD">
        <w:t xml:space="preserve">, созданное и зарегистрированное в соответствии с законодательством  Республики Кипр, Регистрационный номер: HE266578, с местонахождением по адресу: 3032, Кипр, </w:t>
      </w:r>
      <w:proofErr w:type="spellStart"/>
      <w:r w:rsidRPr="003E2ACD">
        <w:t>Лимассол</w:t>
      </w:r>
      <w:proofErr w:type="spellEnd"/>
      <w:r w:rsidRPr="003E2ACD">
        <w:t xml:space="preserve">, </w:t>
      </w:r>
      <w:proofErr w:type="spellStart"/>
      <w:r w:rsidRPr="003E2ACD">
        <w:t>Караискаки</w:t>
      </w:r>
      <w:proofErr w:type="spellEnd"/>
      <w:r w:rsidRPr="003E2ACD">
        <w:t>, 13 (</w:t>
      </w:r>
      <w:proofErr w:type="spellStart"/>
      <w:r w:rsidRPr="003E2ACD">
        <w:t>Karaiskaki</w:t>
      </w:r>
      <w:proofErr w:type="spellEnd"/>
      <w:r w:rsidRPr="003E2ACD">
        <w:t xml:space="preserve">, 13, 3032, </w:t>
      </w:r>
      <w:proofErr w:type="spellStart"/>
      <w:r w:rsidRPr="003E2ACD">
        <w:t>Limassol</w:t>
      </w:r>
      <w:proofErr w:type="spellEnd"/>
      <w:r w:rsidRPr="003E2ACD">
        <w:t xml:space="preserve">, </w:t>
      </w:r>
      <w:proofErr w:type="spellStart"/>
      <w:r w:rsidRPr="003E2ACD">
        <w:t>Cyprus</w:t>
      </w:r>
      <w:proofErr w:type="spellEnd"/>
      <w:r w:rsidRPr="003E2ACD">
        <w:t xml:space="preserve">), и все его дочерние компании, в соответствии с тем, как это указано в консолидированной финансовой отчетности HMS </w:t>
      </w:r>
      <w:proofErr w:type="spellStart"/>
      <w:r w:rsidRPr="003E2ACD">
        <w:t>Hydraulic</w:t>
      </w:r>
      <w:proofErr w:type="spellEnd"/>
      <w:r w:rsidRPr="003E2ACD">
        <w:t xml:space="preserve"> </w:t>
      </w:r>
      <w:proofErr w:type="spellStart"/>
      <w:r w:rsidRPr="003E2ACD">
        <w:t>Machines</w:t>
      </w:r>
      <w:proofErr w:type="spellEnd"/>
      <w:r w:rsidRPr="003E2ACD">
        <w:t xml:space="preserve"> &amp; </w:t>
      </w:r>
      <w:proofErr w:type="spellStart"/>
      <w:r w:rsidRPr="003E2ACD">
        <w:t>Systems</w:t>
      </w:r>
      <w:proofErr w:type="spellEnd"/>
      <w:r w:rsidRPr="003E2ACD">
        <w:t xml:space="preserve"> </w:t>
      </w:r>
      <w:proofErr w:type="spellStart"/>
      <w:r w:rsidRPr="003E2ACD">
        <w:t>Group</w:t>
      </w:r>
      <w:proofErr w:type="spellEnd"/>
      <w:r w:rsidRPr="003E2ACD">
        <w:t xml:space="preserve"> </w:t>
      </w:r>
      <w:proofErr w:type="spellStart"/>
      <w:r w:rsidRPr="003E2ACD">
        <w:t>Plc</w:t>
      </w:r>
      <w:proofErr w:type="spellEnd"/>
      <w:r w:rsidRPr="003E2ACD">
        <w:t>, составленной в соответствии с МСФО (Международные стандарты финансовой отчетности) на последнюю дату составления такой отчетности.</w:t>
      </w:r>
    </w:p>
    <w:p w:rsidR="003E2ACD" w:rsidRPr="003E2ACD" w:rsidRDefault="003E2ACD" w:rsidP="003E2ACD">
      <w:pPr>
        <w:spacing w:line="276" w:lineRule="auto"/>
        <w:ind w:firstLine="567"/>
        <w:jc w:val="both"/>
      </w:pPr>
      <w:r w:rsidRPr="003E2ACD">
        <w:t>Поручитель настоящим дает свое согласие отвечать по Договору поручительства также в случае последующего изменения Соглашения, влекущего изменение каждого из условий Соглашения по сравнению с соответствующим условием, установленным Соглашением:</w:t>
      </w:r>
    </w:p>
    <w:p w:rsidR="003E2ACD" w:rsidRPr="003E2ACD" w:rsidRDefault="003E2ACD" w:rsidP="003E2ACD">
      <w:pPr>
        <w:spacing w:line="276" w:lineRule="auto"/>
        <w:ind w:firstLine="567"/>
        <w:jc w:val="both"/>
      </w:pPr>
      <w:r w:rsidRPr="003E2ACD">
        <w:t xml:space="preserve">- не более чем на 50 % (Пятьдесят процентов) в отношении Лимита Линии, комиссий, неустойки по Соглашению; </w:t>
      </w:r>
    </w:p>
    <w:p w:rsidR="003E2ACD" w:rsidRPr="003E2ACD" w:rsidRDefault="003E2ACD" w:rsidP="003E2ACD">
      <w:pPr>
        <w:spacing w:line="276" w:lineRule="auto"/>
        <w:ind w:firstLine="567"/>
        <w:jc w:val="both"/>
      </w:pPr>
      <w:r w:rsidRPr="003E2ACD">
        <w:t>- не более чем в 2 (Два) раза в отношении увеличения или уменьшения Срока действия Линии.</w:t>
      </w:r>
    </w:p>
    <w:p w:rsidR="003E2ACD" w:rsidRPr="003E2ACD" w:rsidRDefault="003E2ACD" w:rsidP="003E2ACD">
      <w:pPr>
        <w:spacing w:line="276" w:lineRule="auto"/>
        <w:ind w:firstLine="567"/>
        <w:jc w:val="both"/>
      </w:pPr>
      <w:r w:rsidRPr="003E2ACD">
        <w:t>При этом оформления какого-либо дополнительного письменного согласия Поручителя на такое изменение не требуется.</w:t>
      </w:r>
    </w:p>
    <w:p w:rsidR="003E2ACD" w:rsidRPr="003E2ACD" w:rsidRDefault="003E2ACD" w:rsidP="003E2ACD">
      <w:pPr>
        <w:spacing w:line="276" w:lineRule="auto"/>
        <w:ind w:firstLine="567"/>
        <w:jc w:val="both"/>
      </w:pPr>
      <w:r w:rsidRPr="003E2ACD">
        <w:t>Договор поручительства действует в течение срока, оканчивающегося через три года с даты окончания Срока действия Линии (с учетом указанных выше пределов изменения условий Соглашения).</w:t>
      </w:r>
    </w:p>
    <w:p w:rsidR="003E2ACD" w:rsidRPr="003E2ACD" w:rsidRDefault="003E2ACD" w:rsidP="003E2ACD">
      <w:pPr>
        <w:spacing w:line="276" w:lineRule="auto"/>
        <w:ind w:firstLine="567"/>
        <w:jc w:val="both"/>
      </w:pPr>
      <w:r w:rsidRPr="003E2ACD">
        <w:t>Заключение, прекращение или изменение договоров, обеспечивающих Соглашение, не прекращает Договор поручительства и не освобождает Поручителя от ответственности, в том числе в той мере, в какой оно могло потребовать возмещение за счет утраченного обеспечения.</w:t>
      </w:r>
    </w:p>
    <w:p w:rsidR="003E2ACD" w:rsidRPr="003E2ACD" w:rsidRDefault="003E2ACD" w:rsidP="003E2ACD">
      <w:pPr>
        <w:spacing w:line="276" w:lineRule="auto"/>
        <w:ind w:firstLine="567"/>
        <w:jc w:val="both"/>
      </w:pPr>
      <w:r w:rsidRPr="003E2ACD">
        <w:t>Остальные условия данной сделки определяются по усмотрению единоличного исполнительного органа Поручителя или иного уполномоченного лица.</w:t>
      </w:r>
    </w:p>
    <w:p w:rsidR="003E2ACD" w:rsidRPr="003E2ACD" w:rsidRDefault="003E2ACD" w:rsidP="003E2ACD">
      <w:pPr>
        <w:jc w:val="both"/>
      </w:pPr>
    </w:p>
    <w:p w:rsidR="003E2ACD" w:rsidRPr="003E2ACD" w:rsidRDefault="003E2ACD" w:rsidP="003E2ACD">
      <w:pPr>
        <w:jc w:val="both"/>
        <w:rPr>
          <w:b/>
        </w:rPr>
      </w:pPr>
      <w:r w:rsidRPr="003E2ACD">
        <w:rPr>
          <w:u w:val="single"/>
        </w:rPr>
        <w:t>Цена сделки:</w:t>
      </w:r>
      <w:r w:rsidRPr="003E2ACD">
        <w:t xml:space="preserve"> определена из расчета </w:t>
      </w:r>
      <w:r w:rsidRPr="003E2ACD">
        <w:rPr>
          <w:lang w:eastAsia="en-US"/>
        </w:rPr>
        <w:t>Совокупной Суммы Использования Линии по Соглашению</w:t>
      </w:r>
      <w:r w:rsidRPr="003E2ACD">
        <w:rPr>
          <w:b/>
        </w:rPr>
        <w:t xml:space="preserve"> в размере </w:t>
      </w:r>
      <w:r w:rsidRPr="003E2ACD">
        <w:rPr>
          <w:b/>
          <w:lang w:eastAsia="en-US"/>
        </w:rPr>
        <w:t>5 600 000 000 (Пять миллиардов шестьсот миллионов) рублей 00 копеек</w:t>
      </w:r>
      <w:r w:rsidRPr="003E2ACD">
        <w:rPr>
          <w:b/>
        </w:rPr>
        <w:t>, что составляет 133,68% от балансовой стоимости активов Поручителя по состоянию на 31.12.2017г.</w:t>
      </w:r>
    </w:p>
    <w:p w:rsidR="003E2ACD" w:rsidRPr="003E2ACD" w:rsidRDefault="003E2ACD" w:rsidP="003E2ACD">
      <w:pPr>
        <w:ind w:right="-5"/>
        <w:jc w:val="both"/>
        <w:rPr>
          <w:i/>
        </w:rPr>
      </w:pPr>
      <w:r w:rsidRPr="003E2ACD">
        <w:rPr>
          <w:i/>
        </w:rPr>
        <w:t xml:space="preserve">Согласно п.6 ст.83 Федерального закона </w:t>
      </w:r>
      <w:r w:rsidRPr="003E2ACD">
        <w:rPr>
          <w:i/>
          <w:iCs/>
        </w:rPr>
        <w:t>от 26.12.1995 N 208-ФЗ «Об акционерных обществах» указываются сведения о з</w:t>
      </w:r>
      <w:r w:rsidRPr="003E2ACD">
        <w:rPr>
          <w:i/>
        </w:rPr>
        <w:t>аинтересованных в совершении сделки лицах и основаниях заинтересованности таких лиц:</w:t>
      </w:r>
    </w:p>
    <w:p w:rsidR="003E2ACD" w:rsidRPr="003E2ACD" w:rsidRDefault="003E2ACD" w:rsidP="003E2ACD">
      <w:pPr>
        <w:jc w:val="both"/>
      </w:pPr>
      <w:r w:rsidRPr="003E2ACD">
        <w:t>1</w:t>
      </w:r>
      <w:r>
        <w:t>)</w:t>
      </w:r>
      <w:r w:rsidRPr="003E2ACD">
        <w:t xml:space="preserve">. косвенно контролирующее лицо Общества - АО «Группа ГМС» (является контролирующим лицом ОАО «Казанский завод компрессорного </w:t>
      </w:r>
      <w:proofErr w:type="gramStart"/>
      <w:r w:rsidRPr="003E2ACD">
        <w:t>машиностроения»</w:t>
      </w:r>
      <w:r w:rsidRPr="003E2ACD">
        <w:rPr>
          <w:iCs/>
        </w:rPr>
        <w:t xml:space="preserve"> </w:t>
      </w:r>
      <w:r w:rsidRPr="003E2ACD">
        <w:t xml:space="preserve"> -</w:t>
      </w:r>
      <w:proofErr w:type="gramEnd"/>
      <w:r w:rsidRPr="003E2ACD">
        <w:t xml:space="preserve"> выгодоприобретателя по сделке);</w:t>
      </w:r>
    </w:p>
    <w:p w:rsidR="003E2ACD" w:rsidRPr="003E2ACD" w:rsidRDefault="003E2ACD" w:rsidP="003E2ACD">
      <w:pPr>
        <w:jc w:val="both"/>
      </w:pPr>
      <w:r w:rsidRPr="003E2ACD">
        <w:lastRenderedPageBreak/>
        <w:t>2</w:t>
      </w:r>
      <w:r>
        <w:t>)</w:t>
      </w:r>
      <w:r w:rsidRPr="003E2ACD">
        <w:t>. косвенно контролирующее лицо Общества - HMS HYDRAULIC MACHINES &amp; SYSTEMS GROUP PLC (является косвенно контролирующим лицом ОАО «Казанский завод компрессорного машиностроения» - выгодоприобретателя по сделке);</w:t>
      </w:r>
    </w:p>
    <w:p w:rsidR="003E2ACD" w:rsidRPr="003E2ACD" w:rsidRDefault="003E2ACD" w:rsidP="003E2ACD">
      <w:pPr>
        <w:jc w:val="both"/>
      </w:pPr>
      <w:r w:rsidRPr="003E2ACD">
        <w:t>3</w:t>
      </w:r>
      <w:r>
        <w:t>)</w:t>
      </w:r>
      <w:r w:rsidRPr="003E2ACD">
        <w:t xml:space="preserve">. член совета директоров Общества </w:t>
      </w:r>
      <w:proofErr w:type="spellStart"/>
      <w:r w:rsidRPr="003E2ACD">
        <w:t>Скрынник</w:t>
      </w:r>
      <w:proofErr w:type="spellEnd"/>
      <w:r w:rsidRPr="003E2ACD">
        <w:t xml:space="preserve"> Юрий Николаевич (является членом совета директоров ОАО «Казанский завод компрессорного </w:t>
      </w:r>
      <w:proofErr w:type="gramStart"/>
      <w:r w:rsidRPr="003E2ACD">
        <w:t>машиностроения»-</w:t>
      </w:r>
      <w:proofErr w:type="gramEnd"/>
      <w:r w:rsidRPr="003E2ACD">
        <w:t xml:space="preserve"> выгодоприобретателя по сделке);</w:t>
      </w:r>
    </w:p>
    <w:p w:rsidR="003E2ACD" w:rsidRPr="003E2ACD" w:rsidRDefault="003E2ACD" w:rsidP="003E2ACD">
      <w:pPr>
        <w:jc w:val="both"/>
      </w:pPr>
      <w:r w:rsidRPr="003E2ACD">
        <w:t>4</w:t>
      </w:r>
      <w:r>
        <w:t>)</w:t>
      </w:r>
      <w:r w:rsidRPr="003E2ACD">
        <w:t>. управляющая организация Общества - ООО «УК «Группа ГМС» (является также управляющей организацией ОАО «Казанский завод компрессорного машиностроения»</w:t>
      </w:r>
      <w:r w:rsidRPr="003E2ACD">
        <w:rPr>
          <w:iCs/>
        </w:rPr>
        <w:t xml:space="preserve"> </w:t>
      </w:r>
      <w:bookmarkStart w:id="0" w:name="_GoBack"/>
      <w:bookmarkEnd w:id="0"/>
      <w:r w:rsidRPr="003E2ACD">
        <w:t>- выгодоприобретателя по сделке).</w:t>
      </w:r>
    </w:p>
    <w:p w:rsidR="007116E6" w:rsidRPr="003E2ACD" w:rsidRDefault="007116E6" w:rsidP="007116E6">
      <w:pPr>
        <w:overflowPunct w:val="0"/>
        <w:autoSpaceDE w:val="0"/>
        <w:autoSpaceDN w:val="0"/>
        <w:adjustRightInd w:val="0"/>
        <w:spacing w:before="120"/>
        <w:jc w:val="both"/>
        <w:rPr>
          <w:b/>
        </w:rPr>
      </w:pPr>
    </w:p>
    <w:p w:rsidR="007116E6" w:rsidRPr="00C259A4" w:rsidRDefault="007116E6" w:rsidP="007116E6">
      <w:pPr>
        <w:jc w:val="both"/>
        <w:rPr>
          <w:b/>
          <w:caps/>
        </w:rPr>
      </w:pPr>
      <w:r>
        <w:rPr>
          <w:b/>
          <w:caps/>
        </w:rPr>
        <w:t>По вопросу № 4</w:t>
      </w:r>
      <w:r w:rsidRPr="00C259A4">
        <w:rPr>
          <w:b/>
          <w:caps/>
        </w:rPr>
        <w:t xml:space="preserve">: </w:t>
      </w:r>
    </w:p>
    <w:p w:rsidR="00830BEA" w:rsidRPr="00830BEA" w:rsidRDefault="00830BEA" w:rsidP="00830BEA">
      <w:pPr>
        <w:tabs>
          <w:tab w:val="left" w:pos="993"/>
        </w:tabs>
        <w:jc w:val="both"/>
        <w:rPr>
          <w:lang w:eastAsia="en-US"/>
        </w:rPr>
      </w:pPr>
      <w:r w:rsidRPr="00830BEA">
        <w:t xml:space="preserve">О последующем одобрении крупной сделки Общества с </w:t>
      </w:r>
      <w:r w:rsidRPr="00830BEA">
        <w:rPr>
          <w:lang w:eastAsia="en-US"/>
        </w:rPr>
        <w:t>АО «</w:t>
      </w:r>
      <w:proofErr w:type="spellStart"/>
      <w:r w:rsidRPr="00830BEA">
        <w:rPr>
          <w:lang w:eastAsia="en-US"/>
        </w:rPr>
        <w:t>ЮниКредит</w:t>
      </w:r>
      <w:proofErr w:type="spellEnd"/>
      <w:r w:rsidRPr="00830BEA">
        <w:rPr>
          <w:lang w:eastAsia="en-US"/>
        </w:rPr>
        <w:t xml:space="preserve"> Банк»</w:t>
      </w:r>
      <w:r w:rsidRPr="00830BEA">
        <w:t xml:space="preserve">, в совершении которой имеется заинтересованность - </w:t>
      </w:r>
      <w:r w:rsidRPr="00830BEA">
        <w:rPr>
          <w:lang w:eastAsia="en-US"/>
        </w:rPr>
        <w:t>д</w:t>
      </w:r>
      <w:r w:rsidRPr="00830BEA">
        <w:t xml:space="preserve">ополнения № 2 к договору поручительства № </w:t>
      </w:r>
      <w:r w:rsidRPr="00830BEA">
        <w:rPr>
          <w:color w:val="000000"/>
        </w:rPr>
        <w:t>001/0788</w:t>
      </w:r>
      <w:r w:rsidRPr="00830BEA">
        <w:rPr>
          <w:color w:val="000000"/>
          <w:lang w:val="en-US"/>
        </w:rPr>
        <w:t>Z</w:t>
      </w:r>
      <w:r w:rsidRPr="00830BEA">
        <w:rPr>
          <w:color w:val="000000"/>
        </w:rPr>
        <w:t xml:space="preserve">/15 </w:t>
      </w:r>
      <w:r w:rsidRPr="00830BEA">
        <w:t>от «09» июня 2015 года, заключенного между АО «</w:t>
      </w:r>
      <w:proofErr w:type="spellStart"/>
      <w:r w:rsidRPr="00830BEA">
        <w:t>Сибнефтемаш</w:t>
      </w:r>
      <w:proofErr w:type="spellEnd"/>
      <w:r w:rsidRPr="00830BEA">
        <w:t>» и АО «</w:t>
      </w:r>
      <w:proofErr w:type="spellStart"/>
      <w:r w:rsidRPr="00830BEA">
        <w:t>ЮниКредит</w:t>
      </w:r>
      <w:proofErr w:type="spellEnd"/>
      <w:r w:rsidRPr="00830BEA">
        <w:t xml:space="preserve"> Банк» в обеспечение исполнения обязательств АО «ГИДРОМАШСЕРВИС» по Соглашению №001/0169L/15 о специальных условиях предоставления револьверной линии для осуществления документарных операций от «30» апреля 2015г. между АО «ГИДРОМАШСЕРВИС» и АО «</w:t>
      </w:r>
      <w:proofErr w:type="spellStart"/>
      <w:r w:rsidRPr="00830BEA">
        <w:t>ЮниКредит</w:t>
      </w:r>
      <w:proofErr w:type="spellEnd"/>
      <w:r w:rsidRPr="00830BEA">
        <w:t xml:space="preserve"> Банк».</w:t>
      </w:r>
    </w:p>
    <w:p w:rsidR="007116E6" w:rsidRPr="00C259A4" w:rsidRDefault="007116E6" w:rsidP="007116E6">
      <w:pPr>
        <w:spacing w:before="120" w:after="120"/>
        <w:jc w:val="both"/>
        <w:rPr>
          <w:b/>
          <w:bCs/>
        </w:rPr>
      </w:pPr>
      <w:r w:rsidRPr="00C259A4">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7116E6" w:rsidTr="00FA7DF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7116E6" w:rsidRDefault="007116E6" w:rsidP="00FA7DF4">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sz w:val="22"/>
                <w:szCs w:val="22"/>
              </w:rPr>
            </w:pPr>
            <w:r>
              <w:rPr>
                <w:sz w:val="22"/>
                <w:szCs w:val="22"/>
              </w:rPr>
              <w:t>Сделка с заинтересованностью</w:t>
            </w:r>
          </w:p>
        </w:tc>
      </w:tr>
      <w:tr w:rsidR="007116E6" w:rsidTr="00FA7DF4">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7116E6" w:rsidRDefault="007116E6" w:rsidP="00FA7DF4">
            <w:pPr>
              <w:overflowPunct w:val="0"/>
              <w:autoSpaceDE w:val="0"/>
              <w:autoSpaceDN w:val="0"/>
              <w:adjustRightInd w:val="0"/>
              <w:jc w:val="center"/>
              <w:rPr>
                <w:b/>
                <w:sz w:val="22"/>
                <w:szCs w:val="22"/>
              </w:rPr>
            </w:pPr>
            <w:r>
              <w:rPr>
                <w:b/>
                <w:sz w:val="22"/>
                <w:szCs w:val="22"/>
              </w:rPr>
              <w:t>%</w:t>
            </w:r>
          </w:p>
        </w:tc>
      </w:tr>
      <w:tr w:rsidR="007116E6" w:rsidTr="00FA7DF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7116E6" w:rsidRPr="00310CE2" w:rsidRDefault="007116E6" w:rsidP="00FA7DF4">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7116E6" w:rsidRDefault="007116E6" w:rsidP="00FA7DF4">
            <w:pPr>
              <w:overflowPunct w:val="0"/>
              <w:autoSpaceDE w:val="0"/>
              <w:autoSpaceDN w:val="0"/>
              <w:adjustRightInd w:val="0"/>
              <w:jc w:val="right"/>
              <w:rPr>
                <w:bCs/>
                <w:sz w:val="22"/>
                <w:szCs w:val="22"/>
              </w:rPr>
            </w:pPr>
            <w:r>
              <w:rPr>
                <w:bCs/>
                <w:sz w:val="22"/>
                <w:szCs w:val="22"/>
              </w:rPr>
              <w:t>1 774 348</w:t>
            </w:r>
          </w:p>
        </w:tc>
        <w:tc>
          <w:tcPr>
            <w:tcW w:w="1594" w:type="dxa"/>
            <w:tcBorders>
              <w:top w:val="single" w:sz="6" w:space="0" w:color="000000"/>
              <w:left w:val="single" w:sz="6" w:space="0" w:color="000000"/>
              <w:bottom w:val="single" w:sz="6" w:space="0" w:color="000000"/>
              <w:right w:val="single" w:sz="6" w:space="0" w:color="000000"/>
            </w:tcBorders>
            <w:hideMark/>
          </w:tcPr>
          <w:p w:rsidR="007116E6" w:rsidRDefault="007116E6" w:rsidP="00FA7DF4">
            <w:pPr>
              <w:overflowPunct w:val="0"/>
              <w:autoSpaceDE w:val="0"/>
              <w:autoSpaceDN w:val="0"/>
              <w:adjustRightInd w:val="0"/>
              <w:jc w:val="right"/>
              <w:rPr>
                <w:bCs/>
                <w:sz w:val="22"/>
                <w:szCs w:val="22"/>
              </w:rPr>
            </w:pPr>
            <w:r>
              <w:rPr>
                <w:bCs/>
                <w:sz w:val="22"/>
                <w:szCs w:val="22"/>
              </w:rPr>
              <w:t>100</w:t>
            </w:r>
          </w:p>
        </w:tc>
      </w:tr>
      <w:tr w:rsidR="007116E6" w:rsidTr="00FA7DF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7116E6" w:rsidRDefault="007116E6" w:rsidP="00FA7DF4">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7116E6" w:rsidRDefault="007116E6" w:rsidP="00FA7DF4">
            <w:pPr>
              <w:overflowPunct w:val="0"/>
              <w:autoSpaceDE w:val="0"/>
              <w:autoSpaceDN w:val="0"/>
              <w:adjustRightInd w:val="0"/>
              <w:jc w:val="right"/>
              <w:rPr>
                <w:sz w:val="22"/>
                <w:szCs w:val="22"/>
              </w:rPr>
            </w:pPr>
            <w:r>
              <w:rPr>
                <w:sz w:val="22"/>
                <w:szCs w:val="22"/>
              </w:rPr>
              <w:t>0</w:t>
            </w:r>
          </w:p>
        </w:tc>
      </w:tr>
      <w:tr w:rsidR="007116E6" w:rsidTr="00FA7DF4">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7116E6" w:rsidRDefault="007116E6" w:rsidP="00FA7DF4">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7116E6" w:rsidRDefault="007116E6" w:rsidP="00FA7DF4">
            <w:pPr>
              <w:overflowPunct w:val="0"/>
              <w:autoSpaceDE w:val="0"/>
              <w:autoSpaceDN w:val="0"/>
              <w:adjustRightInd w:val="0"/>
              <w:jc w:val="right"/>
              <w:rPr>
                <w:sz w:val="22"/>
                <w:szCs w:val="22"/>
              </w:rPr>
            </w:pPr>
            <w:r>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7116E6" w:rsidRDefault="007116E6" w:rsidP="00FA7DF4">
            <w:pPr>
              <w:overflowPunct w:val="0"/>
              <w:autoSpaceDE w:val="0"/>
              <w:autoSpaceDN w:val="0"/>
              <w:adjustRightInd w:val="0"/>
              <w:jc w:val="right"/>
              <w:rPr>
                <w:sz w:val="22"/>
                <w:szCs w:val="22"/>
              </w:rPr>
            </w:pPr>
            <w:r>
              <w:rPr>
                <w:sz w:val="22"/>
                <w:szCs w:val="22"/>
              </w:rPr>
              <w:t>0</w:t>
            </w:r>
          </w:p>
        </w:tc>
      </w:tr>
    </w:tbl>
    <w:p w:rsidR="007116E6" w:rsidRDefault="007116E6" w:rsidP="007116E6">
      <w:pPr>
        <w:tabs>
          <w:tab w:val="left" w:pos="9000"/>
        </w:tabs>
        <w:rPr>
          <w:b/>
          <w:bCs/>
          <w:sz w:val="20"/>
          <w:szCs w:val="20"/>
        </w:rPr>
      </w:pPr>
    </w:p>
    <w:p w:rsidR="007116E6" w:rsidRPr="00C259A4" w:rsidRDefault="007116E6" w:rsidP="007116E6">
      <w:pPr>
        <w:tabs>
          <w:tab w:val="left" w:pos="9000"/>
        </w:tabs>
        <w:rPr>
          <w:b/>
          <w:bCs/>
        </w:rPr>
      </w:pPr>
      <w:r w:rsidRPr="00C259A4">
        <w:rPr>
          <w:b/>
          <w:bCs/>
        </w:rPr>
        <w:t>Кворум для принятия решения по данному вопросу имеется.</w:t>
      </w:r>
    </w:p>
    <w:p w:rsidR="007116E6" w:rsidRPr="00C259A4" w:rsidRDefault="007116E6" w:rsidP="007116E6">
      <w:pPr>
        <w:tabs>
          <w:tab w:val="left" w:pos="2660"/>
          <w:tab w:val="left" w:pos="10704"/>
        </w:tabs>
        <w:spacing w:before="120"/>
        <w:jc w:val="both"/>
      </w:pPr>
      <w:r w:rsidRPr="00C259A4">
        <w:rPr>
          <w:b/>
        </w:rPr>
        <w:t>Принято решение</w:t>
      </w:r>
      <w:r w:rsidRPr="00C259A4">
        <w:t xml:space="preserve">: </w:t>
      </w:r>
    </w:p>
    <w:p w:rsidR="00047538" w:rsidRPr="00047538" w:rsidRDefault="00047538" w:rsidP="00047538">
      <w:pPr>
        <w:jc w:val="both"/>
        <w:rPr>
          <w:u w:val="single"/>
          <w:lang w:eastAsia="x-none"/>
        </w:rPr>
      </w:pPr>
      <w:r w:rsidRPr="00047538">
        <w:rPr>
          <w:szCs w:val="20"/>
          <w:lang w:val="x-none" w:eastAsia="x-none"/>
        </w:rPr>
        <w:t>Одобрить заключение Обществом крупной сделки</w:t>
      </w:r>
      <w:r w:rsidRPr="00047538">
        <w:rPr>
          <w:lang w:val="x-none" w:eastAsia="x-none"/>
        </w:rPr>
        <w:t xml:space="preserve"> с </w:t>
      </w:r>
      <w:r w:rsidRPr="00047538">
        <w:rPr>
          <w:lang w:val="x-none" w:eastAsia="en-US"/>
        </w:rPr>
        <w:t>АО «</w:t>
      </w:r>
      <w:proofErr w:type="spellStart"/>
      <w:r w:rsidRPr="00047538">
        <w:rPr>
          <w:lang w:val="x-none" w:eastAsia="en-US"/>
        </w:rPr>
        <w:t>ЮниКредит</w:t>
      </w:r>
      <w:proofErr w:type="spellEnd"/>
      <w:r w:rsidRPr="00047538">
        <w:rPr>
          <w:lang w:val="x-none" w:eastAsia="en-US"/>
        </w:rPr>
        <w:t xml:space="preserve"> Банк»</w:t>
      </w:r>
      <w:r w:rsidRPr="00047538">
        <w:rPr>
          <w:szCs w:val="20"/>
          <w:lang w:val="x-none" w:eastAsia="en-US"/>
        </w:rPr>
        <w:t xml:space="preserve"> (далее –Банк)</w:t>
      </w:r>
      <w:r w:rsidRPr="00047538">
        <w:rPr>
          <w:lang w:val="x-none" w:eastAsia="x-none"/>
        </w:rPr>
        <w:t>, в совершении которой имеется заинтересованность</w:t>
      </w:r>
      <w:r w:rsidRPr="00047538">
        <w:rPr>
          <w:lang w:eastAsia="x-none"/>
        </w:rPr>
        <w:t xml:space="preserve"> - </w:t>
      </w:r>
      <w:r w:rsidRPr="00047538">
        <w:rPr>
          <w:lang w:val="x-none" w:eastAsia="x-none"/>
        </w:rPr>
        <w:t>Дополнени</w:t>
      </w:r>
      <w:r w:rsidRPr="00047538">
        <w:rPr>
          <w:lang w:eastAsia="x-none"/>
        </w:rPr>
        <w:t>я</w:t>
      </w:r>
      <w:r w:rsidRPr="00047538">
        <w:rPr>
          <w:lang w:val="x-none" w:eastAsia="x-none"/>
        </w:rPr>
        <w:t xml:space="preserve"> № 2 к Договору поручительства № </w:t>
      </w:r>
      <w:r w:rsidRPr="00047538">
        <w:rPr>
          <w:color w:val="000000"/>
          <w:lang w:val="x-none" w:eastAsia="x-none"/>
        </w:rPr>
        <w:t>001/0788</w:t>
      </w:r>
      <w:r w:rsidRPr="00047538">
        <w:rPr>
          <w:color w:val="000000"/>
          <w:lang w:val="en-US" w:eastAsia="x-none"/>
        </w:rPr>
        <w:t>Z</w:t>
      </w:r>
      <w:r w:rsidRPr="00047538">
        <w:rPr>
          <w:color w:val="000000"/>
          <w:lang w:val="x-none" w:eastAsia="x-none"/>
        </w:rPr>
        <w:t xml:space="preserve">/15 </w:t>
      </w:r>
      <w:r w:rsidRPr="00047538">
        <w:rPr>
          <w:lang w:val="x-none" w:eastAsia="x-none"/>
        </w:rPr>
        <w:t xml:space="preserve">от «09» июня 2015 года между </w:t>
      </w:r>
      <w:r w:rsidRPr="00047538">
        <w:rPr>
          <w:lang w:eastAsia="x-none"/>
        </w:rPr>
        <w:t>Обществом</w:t>
      </w:r>
      <w:r w:rsidRPr="00047538">
        <w:rPr>
          <w:lang w:val="x-none" w:eastAsia="x-none"/>
        </w:rPr>
        <w:t xml:space="preserve"> и АО «</w:t>
      </w:r>
      <w:proofErr w:type="spellStart"/>
      <w:r w:rsidRPr="00047538">
        <w:rPr>
          <w:lang w:val="x-none" w:eastAsia="x-none"/>
        </w:rPr>
        <w:t>ЮниКредит</w:t>
      </w:r>
      <w:proofErr w:type="spellEnd"/>
      <w:r w:rsidRPr="00047538">
        <w:rPr>
          <w:lang w:val="x-none" w:eastAsia="x-none"/>
        </w:rPr>
        <w:t xml:space="preserve"> Банк» </w:t>
      </w:r>
      <w:r w:rsidRPr="00047538">
        <w:rPr>
          <w:szCs w:val="20"/>
          <w:lang w:val="x-none" w:eastAsia="x-none"/>
        </w:rPr>
        <w:t xml:space="preserve">(далее – </w:t>
      </w:r>
      <w:r w:rsidRPr="00047538">
        <w:rPr>
          <w:szCs w:val="20"/>
          <w:lang w:eastAsia="x-none"/>
        </w:rPr>
        <w:t>Банк</w:t>
      </w:r>
      <w:r w:rsidRPr="00047538">
        <w:rPr>
          <w:szCs w:val="20"/>
          <w:lang w:val="x-none" w:eastAsia="x-none"/>
        </w:rPr>
        <w:t>)</w:t>
      </w:r>
      <w:r w:rsidRPr="00047538">
        <w:rPr>
          <w:lang w:val="x-none" w:eastAsia="x-none"/>
        </w:rPr>
        <w:t xml:space="preserve"> в обеспечение исполнения обязательств АО «ГИДРОМАШСЕРВИС» (далее - Клиент) по Соглашению №001/0169L/15 о специальных условиях предоставления револьверной линии </w:t>
      </w:r>
      <w:r w:rsidRPr="00047538">
        <w:rPr>
          <w:szCs w:val="20"/>
          <w:lang w:eastAsia="x-none"/>
        </w:rPr>
        <w:t xml:space="preserve">(далее – Линии) </w:t>
      </w:r>
      <w:r w:rsidRPr="00047538">
        <w:rPr>
          <w:lang w:val="x-none" w:eastAsia="x-none"/>
        </w:rPr>
        <w:t xml:space="preserve">для осуществления документарных операций от «30» апреля 2015г. между АО «ГИДРОМАШСЕРВИС» и </w:t>
      </w:r>
      <w:r w:rsidRPr="00047538">
        <w:rPr>
          <w:szCs w:val="20"/>
          <w:lang w:eastAsia="x-none"/>
        </w:rPr>
        <w:t>Банком</w:t>
      </w:r>
      <w:r w:rsidRPr="00047538">
        <w:rPr>
          <w:lang w:val="x-none" w:eastAsia="x-none"/>
        </w:rPr>
        <w:t xml:space="preserve"> (далее - Соглашение)</w:t>
      </w:r>
      <w:r w:rsidRPr="00047538">
        <w:rPr>
          <w:lang w:eastAsia="x-none"/>
        </w:rPr>
        <w:t xml:space="preserve"> на следующих условиях:</w:t>
      </w:r>
    </w:p>
    <w:p w:rsidR="00047538" w:rsidRPr="00047538" w:rsidRDefault="00047538" w:rsidP="00047538">
      <w:pPr>
        <w:ind w:firstLine="708"/>
        <w:jc w:val="both"/>
        <w:rPr>
          <w:lang w:val="x-none"/>
        </w:rPr>
      </w:pPr>
    </w:p>
    <w:p w:rsidR="00047538" w:rsidRPr="00047538" w:rsidRDefault="00047538" w:rsidP="00047538">
      <w:pPr>
        <w:jc w:val="both"/>
        <w:rPr>
          <w:u w:val="single"/>
        </w:rPr>
      </w:pPr>
      <w:r w:rsidRPr="00047538">
        <w:rPr>
          <w:u w:val="single"/>
        </w:rPr>
        <w:t>Стороны сделки:</w:t>
      </w:r>
    </w:p>
    <w:p w:rsidR="00047538" w:rsidRPr="00047538" w:rsidRDefault="00047538" w:rsidP="00047538">
      <w:pPr>
        <w:jc w:val="both"/>
      </w:pPr>
      <w:r w:rsidRPr="00047538">
        <w:t>Банк: Акционерное общество</w:t>
      </w:r>
      <w:r w:rsidRPr="00047538">
        <w:rPr>
          <w:lang w:eastAsia="en-US"/>
        </w:rPr>
        <w:t xml:space="preserve"> «</w:t>
      </w:r>
      <w:proofErr w:type="spellStart"/>
      <w:r w:rsidRPr="00047538">
        <w:rPr>
          <w:lang w:eastAsia="en-US"/>
        </w:rPr>
        <w:t>ЮниКредит</w:t>
      </w:r>
      <w:proofErr w:type="spellEnd"/>
      <w:r w:rsidRPr="00047538">
        <w:rPr>
          <w:lang w:eastAsia="en-US"/>
        </w:rPr>
        <w:t xml:space="preserve"> Банк»</w:t>
      </w:r>
    </w:p>
    <w:p w:rsidR="00047538" w:rsidRPr="00047538" w:rsidRDefault="00047538" w:rsidP="00047538">
      <w:pPr>
        <w:jc w:val="both"/>
      </w:pPr>
      <w:r w:rsidRPr="00047538">
        <w:t>Поручитель: Акционерное общество «</w:t>
      </w:r>
      <w:proofErr w:type="spellStart"/>
      <w:r w:rsidRPr="00047538">
        <w:t>Сибнефтемаш</w:t>
      </w:r>
      <w:proofErr w:type="spellEnd"/>
      <w:r w:rsidRPr="00047538">
        <w:t>»</w:t>
      </w:r>
    </w:p>
    <w:p w:rsidR="00047538" w:rsidRPr="00047538" w:rsidRDefault="00047538" w:rsidP="00047538"/>
    <w:p w:rsidR="00047538" w:rsidRPr="00047538" w:rsidRDefault="00047538" w:rsidP="00047538">
      <w:pPr>
        <w:rPr>
          <w:u w:val="single"/>
        </w:rPr>
      </w:pPr>
      <w:r w:rsidRPr="00047538">
        <w:rPr>
          <w:u w:val="single"/>
        </w:rPr>
        <w:t>Существенные условия сделки:</w:t>
      </w:r>
    </w:p>
    <w:p w:rsidR="00047538" w:rsidRPr="00047538" w:rsidRDefault="00047538" w:rsidP="00047538">
      <w:pPr>
        <w:jc w:val="both"/>
      </w:pPr>
      <w:r w:rsidRPr="00047538">
        <w:t>Лимит Линии в размере 5 000 000 000,00 (Пять миллиардов) рублей РФ.</w:t>
      </w:r>
    </w:p>
    <w:p w:rsidR="00047538" w:rsidRPr="00047538" w:rsidRDefault="00047538" w:rsidP="00047538">
      <w:pPr>
        <w:jc w:val="both"/>
      </w:pPr>
      <w:r w:rsidRPr="00047538">
        <w:t>Срок действия Соглашения – до «15» июня 2022г.</w:t>
      </w:r>
    </w:p>
    <w:p w:rsidR="00047538" w:rsidRPr="00047538" w:rsidRDefault="00047538" w:rsidP="00047538">
      <w:pPr>
        <w:jc w:val="both"/>
      </w:pPr>
      <w:r w:rsidRPr="00047538">
        <w:t>Датой окончания Срока действии Линии является «15» июня 2022г.</w:t>
      </w:r>
    </w:p>
    <w:p w:rsidR="00047538" w:rsidRPr="00047538" w:rsidRDefault="00047538" w:rsidP="00047538">
      <w:pPr>
        <w:ind w:firstLine="708"/>
        <w:jc w:val="both"/>
      </w:pPr>
      <w:r w:rsidRPr="00047538">
        <w:t>Совокупная Сумма Использования Линии по Соглашению:</w:t>
      </w:r>
    </w:p>
    <w:p w:rsidR="00047538" w:rsidRPr="00047538" w:rsidRDefault="00047538" w:rsidP="00047538">
      <w:pPr>
        <w:jc w:val="both"/>
      </w:pPr>
      <w:r w:rsidRPr="00047538">
        <w:t xml:space="preserve">- по Соглашению №001/0098L/14 о специальных условиях предоставления револьверной линии для осуществления документарных операций от «03» февраля 2014 года, заключенным между Банком и </w:t>
      </w:r>
      <w:r w:rsidRPr="00047538">
        <w:rPr>
          <w:b/>
        </w:rPr>
        <w:t>Клиентом</w:t>
      </w:r>
      <w:r w:rsidRPr="00047538">
        <w:t xml:space="preserve">, </w:t>
      </w:r>
    </w:p>
    <w:p w:rsidR="00047538" w:rsidRPr="00047538" w:rsidRDefault="00047538" w:rsidP="00047538">
      <w:pPr>
        <w:jc w:val="both"/>
      </w:pPr>
      <w:r w:rsidRPr="00047538">
        <w:lastRenderedPageBreak/>
        <w:t xml:space="preserve">- по Соглашению №001/0508L/13 о специальных условиях предоставления револьверной линии для осуществления документарных операций от «14» июня 2013 года, по Соглашению №001/0153L/15 о специальных условиях предоставления револьверной линии для осуществления документарных операций от «21» апреля 2015 года, заключенных между Банком и </w:t>
      </w:r>
      <w:r w:rsidRPr="00047538">
        <w:rPr>
          <w:b/>
        </w:rPr>
        <w:t>Открытым акционерным обществом «Казанский завод компрессорного машиностроения»,</w:t>
      </w:r>
      <w:r w:rsidRPr="00047538">
        <w:rPr>
          <w:iCs/>
        </w:rPr>
        <w:t xml:space="preserve"> созданным и зарегистрированным в соответствии с законодательством Российской Федерации, ОГРН 1021603620114, ИНН 1660004878, адрес юридического лица: 420029, г. Казань, ул. </w:t>
      </w:r>
      <w:proofErr w:type="spellStart"/>
      <w:r w:rsidRPr="00047538">
        <w:rPr>
          <w:iCs/>
        </w:rPr>
        <w:t>Халитова</w:t>
      </w:r>
      <w:proofErr w:type="spellEnd"/>
      <w:r w:rsidRPr="00047538">
        <w:rPr>
          <w:iCs/>
        </w:rPr>
        <w:t>, д. 1,</w:t>
      </w:r>
      <w:r w:rsidRPr="00047538">
        <w:t xml:space="preserve"> </w:t>
      </w:r>
    </w:p>
    <w:p w:rsidR="00047538" w:rsidRPr="00047538" w:rsidRDefault="00047538" w:rsidP="00047538">
      <w:pPr>
        <w:jc w:val="both"/>
        <w:rPr>
          <w:color w:val="000000"/>
        </w:rPr>
      </w:pPr>
      <w:r w:rsidRPr="00047538">
        <w:t xml:space="preserve">- по Соглашению №001/0719L/14 о специальных условиях предоставления револьверной линии для осуществления документарных операций от «15» августа 2014 года, заключенному между Банком и </w:t>
      </w:r>
      <w:r w:rsidRPr="00047538">
        <w:rPr>
          <w:b/>
        </w:rPr>
        <w:t>Публичным акционерным обществом «</w:t>
      </w:r>
      <w:proofErr w:type="spellStart"/>
      <w:r w:rsidRPr="00047538">
        <w:rPr>
          <w:b/>
        </w:rPr>
        <w:t>Томскгазстрой</w:t>
      </w:r>
      <w:proofErr w:type="spellEnd"/>
      <w:r w:rsidRPr="00047538">
        <w:rPr>
          <w:b/>
        </w:rPr>
        <w:t>»</w:t>
      </w:r>
      <w:r w:rsidRPr="00047538">
        <w:t xml:space="preserve">, </w:t>
      </w:r>
      <w:r w:rsidRPr="00047538">
        <w:rPr>
          <w:iCs/>
        </w:rPr>
        <w:t xml:space="preserve">созданным и зарегистрированным в соответствии с законодательством Российской Федерации, </w:t>
      </w:r>
      <w:r w:rsidRPr="00047538">
        <w:t>ОГРН 1027001620030, ИНН 7022000600</w:t>
      </w:r>
      <w:r w:rsidRPr="00047538">
        <w:rPr>
          <w:iCs/>
        </w:rPr>
        <w:t xml:space="preserve">, адрес юридического лица: </w:t>
      </w:r>
      <w:r w:rsidRPr="00047538">
        <w:rPr>
          <w:color w:val="000000"/>
        </w:rPr>
        <w:t xml:space="preserve">634009, Россия, г. Томск, ул. Большая Подгорная, д.21, </w:t>
      </w:r>
    </w:p>
    <w:p w:rsidR="00047538" w:rsidRPr="00047538" w:rsidRDefault="00047538" w:rsidP="00047538">
      <w:pPr>
        <w:jc w:val="both"/>
        <w:rPr>
          <w:color w:val="000000"/>
        </w:rPr>
      </w:pPr>
      <w:r w:rsidRPr="00047538">
        <w:t xml:space="preserve">- по Соглашению №001/0145L/15 о специальных условиях предоставления револьверной линии для осуществления документарных операций от «17» апреля 2015 года, заключенному между Банком и </w:t>
      </w:r>
      <w:r w:rsidRPr="00047538">
        <w:rPr>
          <w:b/>
        </w:rPr>
        <w:t>Акционерным обществом «ГМС Нефтемаш»</w:t>
      </w:r>
      <w:r w:rsidRPr="00047538">
        <w:t xml:space="preserve">, </w:t>
      </w:r>
      <w:r w:rsidRPr="00047538">
        <w:rPr>
          <w:iCs/>
        </w:rPr>
        <w:t xml:space="preserve">ОГРН 1027200800868, ИНН </w:t>
      </w:r>
      <w:proofErr w:type="gramStart"/>
      <w:r w:rsidRPr="00047538">
        <w:rPr>
          <w:iCs/>
        </w:rPr>
        <w:t>7204002810,  созданным</w:t>
      </w:r>
      <w:proofErr w:type="gramEnd"/>
      <w:r w:rsidRPr="00047538">
        <w:rPr>
          <w:iCs/>
        </w:rPr>
        <w:t xml:space="preserve"> и зарегистрированным в соответствии с законодательством Российской Федерации, адрес юридического лица: 625003, г. Тюмень, ул. Военная, д. 44,</w:t>
      </w:r>
      <w:r w:rsidRPr="00047538">
        <w:rPr>
          <w:color w:val="000000"/>
        </w:rPr>
        <w:t xml:space="preserve"> </w:t>
      </w:r>
    </w:p>
    <w:p w:rsidR="00047538" w:rsidRPr="00047538" w:rsidRDefault="00047538" w:rsidP="00047538">
      <w:pPr>
        <w:ind w:firstLine="708"/>
        <w:jc w:val="both"/>
      </w:pPr>
      <w:r w:rsidRPr="00047538">
        <w:t xml:space="preserve">не может превышать </w:t>
      </w:r>
      <w:r w:rsidRPr="00047538">
        <w:rPr>
          <w:b/>
        </w:rPr>
        <w:t>5 600 000 000,00 (Пять миллиардов шестьсот миллионов) рублей РФ</w:t>
      </w:r>
      <w:r w:rsidRPr="00047538">
        <w:t xml:space="preserve"> (далее – </w:t>
      </w:r>
      <w:r w:rsidRPr="00047538">
        <w:rPr>
          <w:b/>
        </w:rPr>
        <w:t>«Лимит Использования 1»</w:t>
      </w:r>
      <w:r w:rsidRPr="00047538">
        <w:t xml:space="preserve">). </w:t>
      </w:r>
    </w:p>
    <w:p w:rsidR="00047538" w:rsidRPr="00047538" w:rsidRDefault="00047538" w:rsidP="00047538">
      <w:pPr>
        <w:jc w:val="both"/>
        <w:rPr>
          <w:iCs/>
        </w:rPr>
      </w:pPr>
      <w:r w:rsidRPr="00047538">
        <w:rPr>
          <w:iCs/>
        </w:rPr>
        <w:t>Для пересчета в валюту Лимита Использования 1 сумм Использования в других валютах используется курс/кросс-курс Банка России на дату Использования по соответствующему Соглашению.</w:t>
      </w:r>
    </w:p>
    <w:p w:rsidR="00047538" w:rsidRPr="00047538" w:rsidRDefault="00047538" w:rsidP="00047538">
      <w:pPr>
        <w:jc w:val="both"/>
        <w:rPr>
          <w:iCs/>
        </w:rPr>
      </w:pPr>
      <w:r w:rsidRPr="00047538">
        <w:rPr>
          <w:iCs/>
        </w:rPr>
        <w:t>Под кросс-курсом Банка России понимается отношение курса одной иностранной валюты к курсу другой иностранной валюты, рассчитанное по установленным Банком России официальным курсам этих валют по отношению к рублю.</w:t>
      </w:r>
    </w:p>
    <w:p w:rsidR="00047538" w:rsidRPr="00047538" w:rsidRDefault="00047538" w:rsidP="00047538">
      <w:pPr>
        <w:jc w:val="both"/>
        <w:rPr>
          <w:iCs/>
        </w:rPr>
      </w:pPr>
      <w:r w:rsidRPr="00047538">
        <w:rPr>
          <w:iCs/>
        </w:rPr>
        <w:t xml:space="preserve">Совокупная Сумма Использования Линии по Соглашению, по Соглашению №001/0098L/14 о специальных условиях предоставления револьверной линии для осуществления документарных операций от «03» февраля 2014 года, сумма Основного долга по Соглашению №001/0602L/15 о предоставлении кредита от «25» ноября 2015 года и по Соглашению №001/0219L/16 об общих условиях предоставления кредита от «20» мая 2016 года, заключенным между Банком и Клиентом, не может превышать </w:t>
      </w:r>
      <w:r w:rsidRPr="00047538">
        <w:rPr>
          <w:b/>
          <w:iCs/>
        </w:rPr>
        <w:t>5 000 000 000,00 (Пять миллиардов) рублей РФ</w:t>
      </w:r>
      <w:r w:rsidRPr="00047538">
        <w:rPr>
          <w:iCs/>
        </w:rPr>
        <w:t xml:space="preserve"> (далее - </w:t>
      </w:r>
      <w:r w:rsidRPr="00047538">
        <w:rPr>
          <w:b/>
          <w:iCs/>
        </w:rPr>
        <w:t>«Лимит Использования 2»</w:t>
      </w:r>
      <w:r w:rsidRPr="00047538">
        <w:rPr>
          <w:iCs/>
        </w:rPr>
        <w:t xml:space="preserve">). </w:t>
      </w:r>
    </w:p>
    <w:p w:rsidR="00047538" w:rsidRPr="00047538" w:rsidRDefault="00047538" w:rsidP="00047538">
      <w:pPr>
        <w:jc w:val="both"/>
        <w:rPr>
          <w:iCs/>
        </w:rPr>
      </w:pPr>
      <w:r w:rsidRPr="00047538">
        <w:rPr>
          <w:iCs/>
        </w:rPr>
        <w:t>Для пересчета в валюту Лимита Использования 2 сумм Использования и/или сумм Основного долга в других валютах используется курс/кросс-курс Банка России на дату Использования /дату предоставления Выплаты по соответствующему Соглашению.</w:t>
      </w:r>
    </w:p>
    <w:p w:rsidR="00047538" w:rsidRPr="00047538" w:rsidRDefault="00047538" w:rsidP="00047538">
      <w:pPr>
        <w:jc w:val="both"/>
        <w:rPr>
          <w:iCs/>
        </w:rPr>
      </w:pPr>
      <w:r w:rsidRPr="00047538">
        <w:rPr>
          <w:iCs/>
        </w:rPr>
        <w:t>Под кросс-курсом Банка России понимается отношение курса одной иностранной валюты к курсу другой иностранной валюты, рассчитанное по установленным Банком России официальным курсам этих валют по отношению к рублю.</w:t>
      </w:r>
    </w:p>
    <w:p w:rsidR="00047538" w:rsidRPr="00047538" w:rsidRDefault="00047538" w:rsidP="00047538">
      <w:pPr>
        <w:spacing w:line="276" w:lineRule="auto"/>
        <w:ind w:firstLine="567"/>
        <w:jc w:val="both"/>
        <w:rPr>
          <w:sz w:val="22"/>
          <w:szCs w:val="22"/>
        </w:rPr>
      </w:pPr>
    </w:p>
    <w:p w:rsidR="00047538" w:rsidRPr="00047538" w:rsidRDefault="00047538" w:rsidP="00047538">
      <w:pPr>
        <w:jc w:val="both"/>
        <w:rPr>
          <w:b/>
        </w:rPr>
      </w:pPr>
      <w:r w:rsidRPr="00047538">
        <w:rPr>
          <w:u w:val="single"/>
        </w:rPr>
        <w:t>Цена сделки:</w:t>
      </w:r>
      <w:r w:rsidRPr="00047538">
        <w:t xml:space="preserve"> определена из расчета </w:t>
      </w:r>
      <w:r w:rsidRPr="00047538">
        <w:rPr>
          <w:lang w:eastAsia="en-US"/>
        </w:rPr>
        <w:t>Совокупной Суммы Использования Линии по Соглашению</w:t>
      </w:r>
      <w:r w:rsidRPr="00047538">
        <w:rPr>
          <w:b/>
        </w:rPr>
        <w:t xml:space="preserve"> в размере </w:t>
      </w:r>
      <w:r w:rsidRPr="00047538">
        <w:rPr>
          <w:b/>
          <w:lang w:eastAsia="en-US"/>
        </w:rPr>
        <w:t>5 600 000 000 (Пять миллиардов шестьсот миллионов) рублей 00 копеек</w:t>
      </w:r>
      <w:r w:rsidRPr="00047538">
        <w:rPr>
          <w:b/>
        </w:rPr>
        <w:t>, что составляет 133,68% от балансовой стоимости активов Поручителя по состоянию на 31.12.2017г.</w:t>
      </w:r>
    </w:p>
    <w:p w:rsidR="00047538" w:rsidRPr="00047538" w:rsidRDefault="00047538" w:rsidP="00047538">
      <w:pPr>
        <w:jc w:val="both"/>
        <w:rPr>
          <w:u w:val="single"/>
          <w:lang w:eastAsia="x-none"/>
        </w:rPr>
      </w:pPr>
    </w:p>
    <w:p w:rsidR="00047538" w:rsidRPr="00047538" w:rsidRDefault="00047538" w:rsidP="00047538">
      <w:pPr>
        <w:ind w:right="-5"/>
        <w:jc w:val="both"/>
        <w:rPr>
          <w:i/>
        </w:rPr>
      </w:pPr>
      <w:r w:rsidRPr="00047538">
        <w:rPr>
          <w:i/>
        </w:rPr>
        <w:t xml:space="preserve">Согласно п.6 ст.83 Федерального закона </w:t>
      </w:r>
      <w:r w:rsidRPr="00047538">
        <w:rPr>
          <w:i/>
          <w:iCs/>
        </w:rPr>
        <w:t>от 26.12.1995 N 208-ФЗ «Об акционерных обществах» указываются сведения о з</w:t>
      </w:r>
      <w:r w:rsidRPr="00047538">
        <w:rPr>
          <w:i/>
        </w:rPr>
        <w:t>аинтересованных в совершении сделки лицах и основаниях заинтересованности таких лиц:</w:t>
      </w:r>
    </w:p>
    <w:p w:rsidR="00047538" w:rsidRPr="00047538" w:rsidRDefault="00047538" w:rsidP="00047538">
      <w:pPr>
        <w:jc w:val="both"/>
      </w:pPr>
      <w:r w:rsidRPr="00047538">
        <w:t xml:space="preserve">1). косвенно контролирующее лицо Общества - АО «Группа ГМС» (является контролирующим лицом </w:t>
      </w:r>
      <w:r w:rsidRPr="00047538">
        <w:rPr>
          <w:iCs/>
        </w:rPr>
        <w:t>АО «</w:t>
      </w:r>
      <w:proofErr w:type="gramStart"/>
      <w:r w:rsidRPr="00047538">
        <w:rPr>
          <w:iCs/>
        </w:rPr>
        <w:t xml:space="preserve">ГИДРОМАШСЕРВИС» </w:t>
      </w:r>
      <w:r w:rsidRPr="00047538">
        <w:t xml:space="preserve"> -</w:t>
      </w:r>
      <w:proofErr w:type="gramEnd"/>
      <w:r w:rsidRPr="00047538">
        <w:t xml:space="preserve"> выгодоприобретателя по сделке);</w:t>
      </w:r>
    </w:p>
    <w:p w:rsidR="00047538" w:rsidRPr="00047538" w:rsidRDefault="00047538" w:rsidP="00047538">
      <w:pPr>
        <w:jc w:val="both"/>
      </w:pPr>
      <w:r w:rsidRPr="00047538">
        <w:lastRenderedPageBreak/>
        <w:t xml:space="preserve">2). косвенно контролирующее лицо Общества - HMS HYDRAULIC MACHINES &amp; SYSTEMS GROUP PLC (является косвенно контролирующим лицом </w:t>
      </w:r>
      <w:r w:rsidRPr="00047538">
        <w:rPr>
          <w:iCs/>
        </w:rPr>
        <w:t>АО «ГИДРОМАШСЕРВИС»</w:t>
      </w:r>
      <w:r w:rsidRPr="00047538">
        <w:t xml:space="preserve"> - выгодоприобретателя по сделке);</w:t>
      </w:r>
    </w:p>
    <w:p w:rsidR="00047538" w:rsidRPr="00047538" w:rsidRDefault="00047538" w:rsidP="00047538">
      <w:pPr>
        <w:jc w:val="both"/>
      </w:pPr>
      <w:r w:rsidRPr="00047538">
        <w:t xml:space="preserve">3). член совета директоров Общества </w:t>
      </w:r>
      <w:proofErr w:type="spellStart"/>
      <w:r w:rsidRPr="00047538">
        <w:t>Скрынник</w:t>
      </w:r>
      <w:proofErr w:type="spellEnd"/>
      <w:r w:rsidRPr="00047538">
        <w:t xml:space="preserve"> Юрий Николаевич (является членом совета директоров </w:t>
      </w:r>
      <w:r w:rsidRPr="00047538">
        <w:rPr>
          <w:iCs/>
        </w:rPr>
        <w:t xml:space="preserve">АО «ГИДРОМАШСЕРВИС» </w:t>
      </w:r>
      <w:r w:rsidRPr="00047538">
        <w:t>- выгодоприобретателя по сделке);</w:t>
      </w:r>
    </w:p>
    <w:p w:rsidR="00047538" w:rsidRPr="00047538" w:rsidRDefault="00047538" w:rsidP="00047538">
      <w:pPr>
        <w:jc w:val="both"/>
      </w:pPr>
      <w:r w:rsidRPr="00047538">
        <w:t xml:space="preserve">4). управляющая организация Общества - ООО «УК «Группа ГМС» (является также управляющей организацией </w:t>
      </w:r>
      <w:r w:rsidRPr="00047538">
        <w:rPr>
          <w:iCs/>
        </w:rPr>
        <w:t xml:space="preserve">АО «ГИДРОМАШСЕРВИС» </w:t>
      </w:r>
      <w:r w:rsidRPr="00047538">
        <w:t>- выгодоприобретателя по сделке).</w:t>
      </w:r>
    </w:p>
    <w:p w:rsidR="00047538" w:rsidRDefault="00047538" w:rsidP="00055939">
      <w:pPr>
        <w:overflowPunct w:val="0"/>
        <w:autoSpaceDE w:val="0"/>
        <w:autoSpaceDN w:val="0"/>
        <w:adjustRightInd w:val="0"/>
        <w:spacing w:before="120"/>
        <w:jc w:val="both"/>
        <w:rPr>
          <w:b/>
        </w:rPr>
      </w:pPr>
    </w:p>
    <w:p w:rsidR="00055939" w:rsidRPr="002264ED" w:rsidRDefault="004146C5" w:rsidP="00055939">
      <w:pPr>
        <w:overflowPunct w:val="0"/>
        <w:autoSpaceDE w:val="0"/>
        <w:autoSpaceDN w:val="0"/>
        <w:adjustRightInd w:val="0"/>
        <w:spacing w:before="120"/>
        <w:jc w:val="both"/>
        <w:rPr>
          <w:b/>
        </w:rPr>
      </w:pPr>
      <w:r>
        <w:rPr>
          <w:b/>
        </w:rPr>
        <w:t>Дата составления отчета: «27</w:t>
      </w:r>
      <w:r w:rsidR="00375A39">
        <w:rPr>
          <w:b/>
        </w:rPr>
        <w:t>» февраля 2018</w:t>
      </w:r>
      <w:r w:rsidR="00055939" w:rsidRPr="002264ED">
        <w:rPr>
          <w:b/>
        </w:rPr>
        <w:t xml:space="preserve"> года.</w:t>
      </w:r>
    </w:p>
    <w:p w:rsidR="00055939" w:rsidRPr="002264ED" w:rsidRDefault="00055939" w:rsidP="00055939">
      <w:pPr>
        <w:jc w:val="right"/>
        <w:rPr>
          <w:b/>
        </w:rPr>
      </w:pPr>
    </w:p>
    <w:p w:rsidR="00055939" w:rsidRPr="002264ED" w:rsidRDefault="00055939" w:rsidP="00055939">
      <w:pPr>
        <w:rPr>
          <w:b/>
        </w:rPr>
      </w:pPr>
      <w:r w:rsidRPr="002264ED">
        <w:rPr>
          <w:b/>
        </w:rPr>
        <w:t>Председатель Собрания</w:t>
      </w:r>
      <w:r w:rsidRPr="002264ED">
        <w:rPr>
          <w:b/>
        </w:rPr>
        <w:tab/>
      </w:r>
      <w:r w:rsidRPr="002264ED">
        <w:rPr>
          <w:b/>
        </w:rPr>
        <w:tab/>
      </w:r>
      <w:r w:rsidRPr="002264ED">
        <w:rPr>
          <w:b/>
        </w:rPr>
        <w:tab/>
      </w:r>
      <w:r w:rsidRPr="002264ED">
        <w:rPr>
          <w:b/>
        </w:rPr>
        <w:tab/>
      </w:r>
      <w:r w:rsidRPr="002264ED">
        <w:rPr>
          <w:b/>
        </w:rPr>
        <w:tab/>
      </w:r>
      <w:r w:rsidRPr="002264ED">
        <w:rPr>
          <w:b/>
        </w:rPr>
        <w:tab/>
        <w:t>А.Е. Новиков</w:t>
      </w:r>
    </w:p>
    <w:p w:rsidR="00055939" w:rsidRPr="002264ED" w:rsidRDefault="00055939" w:rsidP="00055939">
      <w:pPr>
        <w:rPr>
          <w:b/>
        </w:rPr>
      </w:pPr>
    </w:p>
    <w:p w:rsidR="00055939" w:rsidRPr="002264ED" w:rsidRDefault="00055939" w:rsidP="00055939">
      <w:pPr>
        <w:rPr>
          <w:b/>
        </w:rPr>
      </w:pPr>
      <w:r w:rsidRPr="002264ED">
        <w:rPr>
          <w:b/>
        </w:rPr>
        <w:t>Секретарь Собрания</w:t>
      </w:r>
      <w:r w:rsidRPr="002264ED">
        <w:rPr>
          <w:b/>
        </w:rPr>
        <w:tab/>
      </w:r>
      <w:r w:rsidRPr="002264ED">
        <w:rPr>
          <w:b/>
        </w:rPr>
        <w:tab/>
      </w:r>
      <w:r w:rsidRPr="002264ED">
        <w:rPr>
          <w:b/>
        </w:rPr>
        <w:tab/>
      </w:r>
      <w:r w:rsidRPr="002264ED">
        <w:rPr>
          <w:b/>
        </w:rPr>
        <w:tab/>
      </w:r>
      <w:r w:rsidRPr="002264ED">
        <w:rPr>
          <w:b/>
        </w:rPr>
        <w:tab/>
      </w:r>
      <w:r w:rsidRPr="002264ED">
        <w:rPr>
          <w:b/>
        </w:rPr>
        <w:tab/>
        <w:t>Ю.А. Воронина</w:t>
      </w:r>
    </w:p>
    <w:p w:rsidR="00055939" w:rsidRPr="002264ED" w:rsidRDefault="00055939" w:rsidP="00055939">
      <w:pPr>
        <w:jc w:val="both"/>
        <w:rPr>
          <w:b/>
        </w:rPr>
      </w:pPr>
    </w:p>
    <w:p w:rsidR="006D5BC8" w:rsidRDefault="00055939">
      <w:r w:rsidRPr="002264ED">
        <w:rPr>
          <w:b/>
        </w:rPr>
        <w:t xml:space="preserve">      </w:t>
      </w:r>
      <w:r w:rsidR="00772678">
        <w:rPr>
          <w:b/>
        </w:rPr>
        <w:t xml:space="preserve">                                                            </w:t>
      </w:r>
      <w:r w:rsidRPr="002264ED">
        <w:rPr>
          <w:b/>
        </w:rPr>
        <w:t xml:space="preserve">  </w:t>
      </w:r>
      <w:r w:rsidRPr="002264ED">
        <w:t xml:space="preserve">М.П. </w:t>
      </w:r>
    </w:p>
    <w:sectPr w:rsidR="006D5BC8" w:rsidSect="000E69A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39" w:rsidRDefault="00055939" w:rsidP="00055939">
      <w:r>
        <w:separator/>
      </w:r>
    </w:p>
  </w:endnote>
  <w:endnote w:type="continuationSeparator" w:id="0">
    <w:p w:rsidR="00055939" w:rsidRDefault="00055939"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251937"/>
      <w:docPartObj>
        <w:docPartGallery w:val="Page Numbers (Bottom of Page)"/>
        <w:docPartUnique/>
      </w:docPartObj>
    </w:sdtPr>
    <w:sdtEndPr/>
    <w:sdtContent>
      <w:p w:rsidR="00055939" w:rsidRDefault="00055939">
        <w:pPr>
          <w:pStyle w:val="aa"/>
          <w:jc w:val="right"/>
        </w:pPr>
        <w:r>
          <w:fldChar w:fldCharType="begin"/>
        </w:r>
        <w:r>
          <w:instrText>PAGE   \* MERGEFORMAT</w:instrText>
        </w:r>
        <w:r>
          <w:fldChar w:fldCharType="separate"/>
        </w:r>
        <w:r w:rsidR="004D5CB1">
          <w:rPr>
            <w:noProof/>
          </w:rPr>
          <w:t>16</w:t>
        </w:r>
        <w:r>
          <w:fldChar w:fldCharType="end"/>
        </w:r>
      </w:p>
    </w:sdtContent>
  </w:sdt>
  <w:p w:rsidR="00055939" w:rsidRDefault="000559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39" w:rsidRDefault="00055939" w:rsidP="00055939">
      <w:r>
        <w:separator/>
      </w:r>
    </w:p>
  </w:footnote>
  <w:footnote w:type="continuationSeparator" w:id="0">
    <w:p w:rsidR="00055939" w:rsidRDefault="00055939"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47538"/>
    <w:rsid w:val="00055939"/>
    <w:rsid w:val="000613CF"/>
    <w:rsid w:val="000A01D8"/>
    <w:rsid w:val="000A7F39"/>
    <w:rsid w:val="000E69A5"/>
    <w:rsid w:val="00171E01"/>
    <w:rsid w:val="001812D3"/>
    <w:rsid w:val="00183711"/>
    <w:rsid w:val="001E45E3"/>
    <w:rsid w:val="001F0B97"/>
    <w:rsid w:val="00217243"/>
    <w:rsid w:val="002264ED"/>
    <w:rsid w:val="002955E6"/>
    <w:rsid w:val="002961A7"/>
    <w:rsid w:val="002969D0"/>
    <w:rsid w:val="002E77C8"/>
    <w:rsid w:val="00310CE2"/>
    <w:rsid w:val="00375A39"/>
    <w:rsid w:val="003D738D"/>
    <w:rsid w:val="003D7EB0"/>
    <w:rsid w:val="003E2ACD"/>
    <w:rsid w:val="003E2DA6"/>
    <w:rsid w:val="003F6962"/>
    <w:rsid w:val="004017EE"/>
    <w:rsid w:val="004146C5"/>
    <w:rsid w:val="0046229F"/>
    <w:rsid w:val="004A275C"/>
    <w:rsid w:val="004D5CB1"/>
    <w:rsid w:val="00562602"/>
    <w:rsid w:val="00562C5E"/>
    <w:rsid w:val="00582FEE"/>
    <w:rsid w:val="0058745D"/>
    <w:rsid w:val="005D3318"/>
    <w:rsid w:val="005F6993"/>
    <w:rsid w:val="00600667"/>
    <w:rsid w:val="00610F75"/>
    <w:rsid w:val="00693176"/>
    <w:rsid w:val="006D5BC8"/>
    <w:rsid w:val="006F2E90"/>
    <w:rsid w:val="007116E6"/>
    <w:rsid w:val="00733922"/>
    <w:rsid w:val="00742591"/>
    <w:rsid w:val="00772678"/>
    <w:rsid w:val="00815B37"/>
    <w:rsid w:val="00830BEA"/>
    <w:rsid w:val="00866EBB"/>
    <w:rsid w:val="00871516"/>
    <w:rsid w:val="008A0259"/>
    <w:rsid w:val="009129CB"/>
    <w:rsid w:val="00935066"/>
    <w:rsid w:val="009919D2"/>
    <w:rsid w:val="00A142E2"/>
    <w:rsid w:val="00A41B09"/>
    <w:rsid w:val="00A65AE4"/>
    <w:rsid w:val="00AE7C5C"/>
    <w:rsid w:val="00B0582C"/>
    <w:rsid w:val="00C259A4"/>
    <w:rsid w:val="00CC422A"/>
    <w:rsid w:val="00CD4043"/>
    <w:rsid w:val="00D377A6"/>
    <w:rsid w:val="00D52460"/>
    <w:rsid w:val="00D758CB"/>
    <w:rsid w:val="00D82897"/>
    <w:rsid w:val="00D87119"/>
    <w:rsid w:val="00DE403E"/>
    <w:rsid w:val="00DE5DEA"/>
    <w:rsid w:val="00E40748"/>
    <w:rsid w:val="00EC653A"/>
    <w:rsid w:val="00FD696C"/>
    <w:rsid w:val="00FE0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93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055939"/>
    <w:pPr>
      <w:jc w:val="center"/>
    </w:pPr>
    <w:rPr>
      <w:szCs w:val="20"/>
    </w:rPr>
  </w:style>
  <w:style w:type="character" w:customStyle="1" w:styleId="a5">
    <w:name w:val="Название Знак"/>
    <w:basedOn w:val="a1"/>
    <w:link w:val="a4"/>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0"/>
    <w:link w:val="a6"/>
    <w:uiPriority w:val="99"/>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0"/>
    <w:uiPriority w:val="99"/>
    <w:rsid w:val="00055939"/>
    <w:pPr>
      <w:numPr>
        <w:numId w:val="1"/>
      </w:numPr>
      <w:jc w:val="both"/>
    </w:pPr>
    <w:rPr>
      <w:rFonts w:ascii="Arial" w:hAnsi="Arial" w:cs="Arial"/>
    </w:rPr>
  </w:style>
  <w:style w:type="paragraph" w:styleId="a8">
    <w:name w:val="header"/>
    <w:basedOn w:val="a0"/>
    <w:link w:val="a9"/>
    <w:uiPriority w:val="99"/>
    <w:unhideWhenUsed/>
    <w:rsid w:val="00055939"/>
    <w:pPr>
      <w:tabs>
        <w:tab w:val="center" w:pos="4677"/>
        <w:tab w:val="right" w:pos="9355"/>
      </w:tabs>
    </w:pPr>
  </w:style>
  <w:style w:type="character" w:customStyle="1" w:styleId="a9">
    <w:name w:val="Верхний колонтитул Знак"/>
    <w:basedOn w:val="a1"/>
    <w:link w:val="a8"/>
    <w:uiPriority w:val="99"/>
    <w:rsid w:val="00055939"/>
    <w:rPr>
      <w:rFonts w:ascii="Times New Roman" w:eastAsia="Times New Roman" w:hAnsi="Times New Roman" w:cs="Times New Roman"/>
      <w:sz w:val="24"/>
      <w:szCs w:val="24"/>
      <w:lang w:eastAsia="ru-RU"/>
    </w:rPr>
  </w:style>
  <w:style w:type="paragraph" w:styleId="aa">
    <w:name w:val="footer"/>
    <w:basedOn w:val="a0"/>
    <w:link w:val="ab"/>
    <w:unhideWhenUsed/>
    <w:rsid w:val="00055939"/>
    <w:pPr>
      <w:tabs>
        <w:tab w:val="center" w:pos="4677"/>
        <w:tab w:val="right" w:pos="9355"/>
      </w:tabs>
    </w:pPr>
  </w:style>
  <w:style w:type="character" w:customStyle="1" w:styleId="ab">
    <w:name w:val="Нижний колонтитул Знак"/>
    <w:basedOn w:val="a1"/>
    <w:link w:val="aa"/>
    <w:rsid w:val="00055939"/>
    <w:rPr>
      <w:rFonts w:ascii="Times New Roman" w:eastAsia="Times New Roman" w:hAnsi="Times New Roman" w:cs="Times New Roman"/>
      <w:sz w:val="24"/>
      <w:szCs w:val="24"/>
      <w:lang w:eastAsia="ru-RU"/>
    </w:rPr>
  </w:style>
  <w:style w:type="paragraph" w:styleId="ac">
    <w:name w:val="Body Text"/>
    <w:basedOn w:val="a0"/>
    <w:link w:val="ad"/>
    <w:rsid w:val="000E69A5"/>
    <w:pPr>
      <w:spacing w:before="100" w:beforeAutospacing="1" w:after="100" w:afterAutospacing="1"/>
    </w:pPr>
  </w:style>
  <w:style w:type="character" w:customStyle="1" w:styleId="ad">
    <w:name w:val="Основной текст Знак"/>
    <w:basedOn w:val="a1"/>
    <w:link w:val="ac"/>
    <w:rsid w:val="000E69A5"/>
    <w:rPr>
      <w:rFonts w:ascii="Times New Roman" w:eastAsia="Times New Roman" w:hAnsi="Times New Roman" w:cs="Times New Roman"/>
      <w:sz w:val="24"/>
      <w:szCs w:val="24"/>
      <w:lang w:eastAsia="ru-RU"/>
    </w:rPr>
  </w:style>
  <w:style w:type="paragraph" w:styleId="ae">
    <w:name w:val="List Paragraph"/>
    <w:basedOn w:val="a0"/>
    <w:uiPriority w:val="34"/>
    <w:qFormat/>
    <w:rsid w:val="00183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7409</Words>
  <Characters>42237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24</cp:revision>
  <dcterms:created xsi:type="dcterms:W3CDTF">2017-11-17T03:29:00Z</dcterms:created>
  <dcterms:modified xsi:type="dcterms:W3CDTF">2018-02-27T08:48:00Z</dcterms:modified>
</cp:coreProperties>
</file>