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A65C03" w:rsidRDefault="00055939" w:rsidP="00055939">
      <w:pPr>
        <w:overflowPunct w:val="0"/>
        <w:autoSpaceDE w:val="0"/>
        <w:autoSpaceDN w:val="0"/>
        <w:adjustRightInd w:val="0"/>
        <w:jc w:val="center"/>
        <w:rPr>
          <w:b/>
          <w:sz w:val="22"/>
          <w:szCs w:val="22"/>
        </w:rPr>
      </w:pPr>
      <w:bookmarkStart w:id="0" w:name="_GoBack"/>
      <w:bookmarkEnd w:id="0"/>
      <w:r w:rsidRPr="00A65C03">
        <w:rPr>
          <w:b/>
          <w:sz w:val="22"/>
          <w:szCs w:val="22"/>
        </w:rPr>
        <w:t>ОТЧЕТ ОБ ИТОГАХ ГОЛОСОВАНИЯ</w:t>
      </w:r>
    </w:p>
    <w:p w:rsidR="00055939" w:rsidRPr="00A65C03" w:rsidRDefault="00846B3D" w:rsidP="00055939">
      <w:pPr>
        <w:overflowPunct w:val="0"/>
        <w:autoSpaceDE w:val="0"/>
        <w:autoSpaceDN w:val="0"/>
        <w:adjustRightInd w:val="0"/>
        <w:jc w:val="center"/>
        <w:rPr>
          <w:b/>
          <w:sz w:val="22"/>
          <w:szCs w:val="22"/>
        </w:rPr>
      </w:pPr>
      <w:r w:rsidRPr="00A65C03">
        <w:rPr>
          <w:b/>
          <w:sz w:val="22"/>
          <w:szCs w:val="22"/>
        </w:rPr>
        <w:t xml:space="preserve">НА ВНЕОЧЕРЕДНОМ </w:t>
      </w:r>
      <w:r w:rsidR="00055939" w:rsidRPr="00A65C03">
        <w:rPr>
          <w:b/>
          <w:sz w:val="22"/>
          <w:szCs w:val="22"/>
        </w:rPr>
        <w:t xml:space="preserve">ОБЩЕМ СОБРАНИИ АКЦИОНЕРОВ  </w:t>
      </w:r>
    </w:p>
    <w:p w:rsidR="00055939" w:rsidRPr="00A65C03" w:rsidRDefault="00055939" w:rsidP="00055939">
      <w:pPr>
        <w:pStyle w:val="a4"/>
        <w:rPr>
          <w:b/>
          <w:sz w:val="22"/>
          <w:szCs w:val="22"/>
        </w:rPr>
      </w:pPr>
      <w:r w:rsidRPr="00A65C03">
        <w:rPr>
          <w:b/>
          <w:sz w:val="22"/>
          <w:szCs w:val="22"/>
        </w:rPr>
        <w:t>АКЦИОНЕРНОГО ОБЩЕСТВА «СИБНЕФТЕМАШ»</w:t>
      </w:r>
    </w:p>
    <w:p w:rsidR="00055939" w:rsidRPr="00A65C03"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812"/>
      </w:tblGrid>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Полное фирменное наименование 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 xml:space="preserve">Акционерное общество «Сибнефтемаш» </w:t>
            </w:r>
          </w:p>
          <w:p w:rsidR="00055939" w:rsidRPr="00A65C03" w:rsidRDefault="00055939">
            <w:pPr>
              <w:jc w:val="both"/>
              <w:rPr>
                <w:sz w:val="22"/>
                <w:szCs w:val="22"/>
              </w:rPr>
            </w:pPr>
            <w:r w:rsidRPr="00A65C03">
              <w:rPr>
                <w:sz w:val="22"/>
                <w:szCs w:val="22"/>
              </w:rPr>
              <w:t xml:space="preserve">(далее АО «Сибнефтемаш» или «Общество») </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Место нахождения </w:t>
            </w:r>
          </w:p>
          <w:p w:rsidR="00055939" w:rsidRPr="00A65C03" w:rsidRDefault="00055939">
            <w:pPr>
              <w:rPr>
                <w:sz w:val="22"/>
                <w:szCs w:val="22"/>
              </w:rPr>
            </w:pPr>
            <w:r w:rsidRPr="00A65C03">
              <w:rPr>
                <w:sz w:val="22"/>
                <w:szCs w:val="22"/>
              </w:rPr>
              <w:t>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625511, РФ, Тюменская область, Тюменский район, 15 километр Тобольского тракта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Вид общего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846B3D">
            <w:pPr>
              <w:jc w:val="both"/>
              <w:rPr>
                <w:sz w:val="22"/>
                <w:szCs w:val="22"/>
              </w:rPr>
            </w:pPr>
            <w:r w:rsidRPr="00A65C03">
              <w:rPr>
                <w:sz w:val="22"/>
                <w:szCs w:val="22"/>
              </w:rPr>
              <w:t>внеочередное</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Форма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354CA7">
            <w:pPr>
              <w:jc w:val="both"/>
              <w:rPr>
                <w:b/>
                <w:sz w:val="22"/>
                <w:szCs w:val="22"/>
              </w:rPr>
            </w:pPr>
            <w:r>
              <w:rPr>
                <w:b/>
                <w:sz w:val="22"/>
                <w:szCs w:val="22"/>
              </w:rPr>
              <w:t>«10» января</w:t>
            </w:r>
            <w:r w:rsidR="00B55B6A" w:rsidRPr="00A65C03">
              <w:rPr>
                <w:b/>
                <w:sz w:val="22"/>
                <w:szCs w:val="22"/>
              </w:rPr>
              <w:t xml:space="preserve"> </w:t>
            </w:r>
            <w:r>
              <w:rPr>
                <w:b/>
                <w:sz w:val="22"/>
                <w:szCs w:val="22"/>
              </w:rPr>
              <w:t>2020</w:t>
            </w:r>
            <w:r w:rsidR="00055939" w:rsidRPr="00A65C03">
              <w:rPr>
                <w:b/>
                <w:sz w:val="22"/>
                <w:szCs w:val="22"/>
              </w:rPr>
              <w:t xml:space="preserve"> года</w:t>
            </w:r>
          </w:p>
        </w:tc>
      </w:tr>
      <w:tr w:rsidR="00055939" w:rsidRPr="00A65C03" w:rsidTr="00A65C03">
        <w:trPr>
          <w:trHeight w:val="424"/>
        </w:trPr>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Место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C4254A">
            <w:pPr>
              <w:jc w:val="both"/>
              <w:rPr>
                <w:sz w:val="22"/>
                <w:szCs w:val="22"/>
              </w:rPr>
            </w:pPr>
            <w:r w:rsidRPr="00A65C03">
              <w:rPr>
                <w:sz w:val="22"/>
                <w:szCs w:val="22"/>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составления списка лиц, имеющих право на участие в общем собрании акционеров:</w:t>
            </w:r>
          </w:p>
        </w:tc>
        <w:tc>
          <w:tcPr>
            <w:tcW w:w="5812" w:type="dxa"/>
            <w:tcBorders>
              <w:top w:val="single" w:sz="4" w:space="0" w:color="auto"/>
              <w:left w:val="single" w:sz="4" w:space="0" w:color="auto"/>
              <w:bottom w:val="single" w:sz="4" w:space="0" w:color="auto"/>
              <w:right w:val="single" w:sz="4" w:space="0" w:color="auto"/>
            </w:tcBorders>
            <w:vAlign w:val="center"/>
          </w:tcPr>
          <w:p w:rsidR="00055939" w:rsidRPr="00A65C03" w:rsidRDefault="00055939">
            <w:pPr>
              <w:jc w:val="both"/>
              <w:rPr>
                <w:sz w:val="22"/>
                <w:szCs w:val="22"/>
              </w:rPr>
            </w:pPr>
          </w:p>
          <w:p w:rsidR="00055939" w:rsidRPr="00A65C03" w:rsidRDefault="00055939">
            <w:pPr>
              <w:jc w:val="both"/>
              <w:rPr>
                <w:sz w:val="22"/>
                <w:szCs w:val="22"/>
              </w:rPr>
            </w:pPr>
          </w:p>
          <w:p w:rsidR="00055939" w:rsidRPr="00A65C03" w:rsidRDefault="00354CA7">
            <w:pPr>
              <w:jc w:val="both"/>
              <w:rPr>
                <w:sz w:val="22"/>
                <w:szCs w:val="22"/>
              </w:rPr>
            </w:pPr>
            <w:r>
              <w:rPr>
                <w:sz w:val="22"/>
                <w:szCs w:val="22"/>
              </w:rPr>
              <w:t>«17» декабря</w:t>
            </w:r>
            <w:r w:rsidR="009F4ADE" w:rsidRPr="00A65C03">
              <w:rPr>
                <w:sz w:val="22"/>
                <w:szCs w:val="22"/>
              </w:rPr>
              <w:t xml:space="preserve"> 2019</w:t>
            </w:r>
            <w:r w:rsidR="00055939" w:rsidRPr="00A65C03">
              <w:rPr>
                <w:sz w:val="22"/>
                <w:szCs w:val="22"/>
              </w:rPr>
              <w:t xml:space="preserve"> года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Дата и время составления протокола: </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354CA7">
            <w:pPr>
              <w:jc w:val="both"/>
              <w:rPr>
                <w:b/>
                <w:sz w:val="22"/>
                <w:szCs w:val="22"/>
              </w:rPr>
            </w:pPr>
            <w:r>
              <w:rPr>
                <w:b/>
                <w:sz w:val="22"/>
                <w:szCs w:val="22"/>
              </w:rPr>
              <w:t>«10</w:t>
            </w:r>
            <w:r w:rsidR="00C97EEC">
              <w:rPr>
                <w:b/>
                <w:sz w:val="22"/>
                <w:szCs w:val="22"/>
              </w:rPr>
              <w:t>» января</w:t>
            </w:r>
            <w:r w:rsidR="004B69D1" w:rsidRPr="00A65C03">
              <w:rPr>
                <w:b/>
                <w:sz w:val="22"/>
                <w:szCs w:val="22"/>
              </w:rPr>
              <w:t xml:space="preserve"> </w:t>
            </w:r>
            <w:r w:rsidR="00C97EEC">
              <w:rPr>
                <w:b/>
                <w:sz w:val="22"/>
                <w:szCs w:val="22"/>
              </w:rPr>
              <w:t>2020</w:t>
            </w:r>
            <w:r w:rsidR="00CC0247" w:rsidRPr="00A65C03">
              <w:rPr>
                <w:b/>
                <w:sz w:val="22"/>
                <w:szCs w:val="22"/>
              </w:rPr>
              <w:t xml:space="preserve"> </w:t>
            </w:r>
            <w:r w:rsidR="005B79DD">
              <w:rPr>
                <w:b/>
                <w:sz w:val="22"/>
                <w:szCs w:val="22"/>
              </w:rPr>
              <w:t>года, 13</w:t>
            </w:r>
            <w:r w:rsidR="00055939" w:rsidRPr="00A65C03">
              <w:rPr>
                <w:b/>
                <w:sz w:val="22"/>
                <w:szCs w:val="22"/>
              </w:rPr>
              <w:t xml:space="preserve"> ч. 00 мин. </w:t>
            </w:r>
          </w:p>
        </w:tc>
      </w:tr>
    </w:tbl>
    <w:p w:rsidR="00055939" w:rsidRPr="00A65C03" w:rsidRDefault="00055939" w:rsidP="00055939">
      <w:pPr>
        <w:jc w:val="both"/>
        <w:rPr>
          <w:bCs/>
          <w:sz w:val="22"/>
          <w:szCs w:val="22"/>
        </w:rPr>
      </w:pPr>
      <w:r w:rsidRPr="00A65C03">
        <w:rPr>
          <w:b/>
          <w:bCs/>
          <w:sz w:val="22"/>
          <w:szCs w:val="22"/>
        </w:rPr>
        <w:t>Председатель собрания</w:t>
      </w:r>
      <w:r w:rsidRPr="00A65C03">
        <w:rPr>
          <w:bCs/>
          <w:sz w:val="22"/>
          <w:szCs w:val="22"/>
        </w:rPr>
        <w:t>: Новиков Андрей Евгеньевич.</w:t>
      </w:r>
    </w:p>
    <w:p w:rsidR="00055939" w:rsidRPr="00A65C03" w:rsidRDefault="00055939" w:rsidP="00055939">
      <w:pPr>
        <w:jc w:val="both"/>
        <w:rPr>
          <w:bCs/>
          <w:sz w:val="22"/>
          <w:szCs w:val="22"/>
        </w:rPr>
      </w:pPr>
      <w:r w:rsidRPr="00A65C03">
        <w:rPr>
          <w:b/>
          <w:bCs/>
          <w:sz w:val="22"/>
          <w:szCs w:val="22"/>
        </w:rPr>
        <w:t>Секретарь собрания</w:t>
      </w:r>
      <w:r w:rsidR="00CC0247" w:rsidRPr="00A65C03">
        <w:rPr>
          <w:bCs/>
          <w:sz w:val="22"/>
          <w:szCs w:val="22"/>
        </w:rPr>
        <w:t>: Нугаева Наталья Викторовна</w:t>
      </w:r>
      <w:r w:rsidRPr="00A65C03">
        <w:rPr>
          <w:bCs/>
          <w:sz w:val="22"/>
          <w:szCs w:val="22"/>
        </w:rPr>
        <w:t>.</w:t>
      </w:r>
    </w:p>
    <w:p w:rsidR="00055939" w:rsidRPr="00A65C03" w:rsidRDefault="00055939" w:rsidP="00055939">
      <w:pPr>
        <w:tabs>
          <w:tab w:val="left" w:pos="3261"/>
          <w:tab w:val="left" w:pos="10704"/>
        </w:tabs>
        <w:spacing w:before="120"/>
        <w:jc w:val="both"/>
        <w:rPr>
          <w:sz w:val="22"/>
          <w:szCs w:val="22"/>
        </w:rPr>
      </w:pPr>
      <w:r w:rsidRPr="00A65C03">
        <w:rPr>
          <w:b/>
          <w:sz w:val="22"/>
          <w:szCs w:val="22"/>
        </w:rPr>
        <w:t>Счетная комиссия:</w:t>
      </w:r>
      <w:r w:rsidRPr="00A65C03">
        <w:rPr>
          <w:sz w:val="22"/>
          <w:szCs w:val="22"/>
        </w:rPr>
        <w:t xml:space="preserve"> Специализированный регистратор Акционерное общество «Новый регистратор» (Тюменский филиал).</w:t>
      </w:r>
    </w:p>
    <w:p w:rsidR="00055939" w:rsidRPr="00A65C03" w:rsidRDefault="00055939" w:rsidP="00055939">
      <w:pPr>
        <w:tabs>
          <w:tab w:val="left" w:pos="3261"/>
          <w:tab w:val="left" w:pos="10704"/>
        </w:tabs>
        <w:spacing w:before="120"/>
        <w:jc w:val="both"/>
        <w:rPr>
          <w:sz w:val="22"/>
          <w:szCs w:val="22"/>
        </w:rPr>
      </w:pPr>
      <w:r w:rsidRPr="00A65C03">
        <w:rPr>
          <w:b/>
          <w:sz w:val="22"/>
          <w:szCs w:val="22"/>
        </w:rPr>
        <w:t>Место нахождения регистратора:</w:t>
      </w:r>
      <w:r w:rsidRPr="00A65C03">
        <w:rPr>
          <w:color w:val="000000"/>
          <w:sz w:val="22"/>
          <w:szCs w:val="22"/>
          <w:shd w:val="clear" w:color="auto" w:fill="FFFFFF"/>
        </w:rPr>
        <w:t xml:space="preserve"> </w:t>
      </w:r>
      <w:r w:rsidRPr="00A65C03">
        <w:rPr>
          <w:sz w:val="22"/>
          <w:szCs w:val="22"/>
        </w:rPr>
        <w:t>107996, РФ, г. Москва, ул. Буженинова, д. 30, стр. 1 (место нахождение Тюменского филиала: 625019, РФ, Тюменская область, г. Тюмень, ул. Республики, д. 211 А).</w:t>
      </w:r>
    </w:p>
    <w:p w:rsidR="00055939" w:rsidRPr="0087435C" w:rsidRDefault="00055939" w:rsidP="00055939">
      <w:pPr>
        <w:tabs>
          <w:tab w:val="left" w:pos="3261"/>
          <w:tab w:val="left" w:pos="10704"/>
        </w:tabs>
        <w:spacing w:before="60"/>
        <w:jc w:val="both"/>
        <w:rPr>
          <w:sz w:val="22"/>
          <w:szCs w:val="22"/>
        </w:rPr>
      </w:pPr>
      <w:r w:rsidRPr="00A65C03">
        <w:rPr>
          <w:b/>
          <w:sz w:val="22"/>
          <w:szCs w:val="22"/>
        </w:rPr>
        <w:t>Уполномоченное лицо регистратора:</w:t>
      </w:r>
      <w:r w:rsidRPr="00A65C03">
        <w:rPr>
          <w:sz w:val="22"/>
          <w:szCs w:val="22"/>
        </w:rPr>
        <w:t xml:space="preserve"> </w:t>
      </w:r>
      <w:r w:rsidRPr="0087435C">
        <w:rPr>
          <w:sz w:val="22"/>
          <w:szCs w:val="22"/>
        </w:rPr>
        <w:t>Токмянина</w:t>
      </w:r>
      <w:r w:rsidR="00815B37" w:rsidRPr="0087435C">
        <w:rPr>
          <w:sz w:val="22"/>
          <w:szCs w:val="22"/>
        </w:rPr>
        <w:t xml:space="preserve"> Вера Львовна (доверенность </w:t>
      </w:r>
      <w:r w:rsidR="00260142" w:rsidRPr="0087435C">
        <w:rPr>
          <w:sz w:val="22"/>
          <w:szCs w:val="22"/>
        </w:rPr>
        <w:t>№ 293 от 31.12.2019</w:t>
      </w:r>
      <w:r w:rsidRPr="0087435C">
        <w:rPr>
          <w:sz w:val="22"/>
          <w:szCs w:val="22"/>
        </w:rPr>
        <w:t xml:space="preserve"> г. сроком действия до </w:t>
      </w:r>
      <w:r w:rsidR="00260142" w:rsidRPr="0087435C">
        <w:rPr>
          <w:sz w:val="22"/>
          <w:szCs w:val="22"/>
        </w:rPr>
        <w:t>31.12.2020</w:t>
      </w:r>
      <w:r w:rsidRPr="0087435C">
        <w:rPr>
          <w:sz w:val="22"/>
          <w:szCs w:val="22"/>
        </w:rPr>
        <w:t xml:space="preserve"> г.). </w:t>
      </w:r>
    </w:p>
    <w:p w:rsidR="000E69A5" w:rsidRPr="00A65C03" w:rsidRDefault="00055939" w:rsidP="000E69A5">
      <w:pPr>
        <w:jc w:val="both"/>
        <w:rPr>
          <w:sz w:val="22"/>
          <w:szCs w:val="22"/>
        </w:rPr>
      </w:pPr>
      <w:r w:rsidRPr="00A65C03">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A65C03" w:rsidRDefault="00B93253" w:rsidP="00B93253">
      <w:pPr>
        <w:jc w:val="both"/>
        <w:rPr>
          <w:sz w:val="22"/>
          <w:szCs w:val="22"/>
        </w:rPr>
      </w:pPr>
      <w:r w:rsidRPr="00A65C03">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65C03">
        <w:rPr>
          <w:sz w:val="22"/>
          <w:szCs w:val="22"/>
          <w:lang w:val="en-US"/>
        </w:rPr>
        <w:t>F</w:t>
      </w:r>
      <w:r w:rsidRPr="00A65C03">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65C03">
        <w:rPr>
          <w:sz w:val="22"/>
          <w:szCs w:val="22"/>
          <w:lang w:val="en-US"/>
        </w:rPr>
        <w:t>F</w:t>
      </w:r>
      <w:r w:rsidRPr="00A65C03">
        <w:rPr>
          <w:sz w:val="22"/>
          <w:szCs w:val="22"/>
        </w:rPr>
        <w:t xml:space="preserve">, дата регистрации выпуска: 20.02.2012 г. </w:t>
      </w:r>
    </w:p>
    <w:p w:rsidR="003F6962" w:rsidRPr="00A65C03" w:rsidRDefault="003F6962" w:rsidP="000E69A5">
      <w:pPr>
        <w:jc w:val="both"/>
        <w:rPr>
          <w:sz w:val="22"/>
          <w:szCs w:val="22"/>
        </w:rPr>
      </w:pPr>
    </w:p>
    <w:p w:rsidR="003F6962" w:rsidRPr="00A65C03" w:rsidRDefault="003F6962" w:rsidP="000E69A5">
      <w:pPr>
        <w:jc w:val="both"/>
        <w:rPr>
          <w:sz w:val="22"/>
          <w:szCs w:val="22"/>
        </w:rPr>
        <w:sectPr w:rsidR="003F6962" w:rsidRPr="00A65C03">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A65C03" w:rsidTr="00E2019E">
        <w:trPr>
          <w:trHeight w:val="615"/>
        </w:trPr>
        <w:tc>
          <w:tcPr>
            <w:tcW w:w="9350" w:type="dxa"/>
            <w:gridSpan w:val="2"/>
          </w:tcPr>
          <w:p w:rsidR="00056AD4" w:rsidRPr="00A65C03" w:rsidRDefault="00056AD4" w:rsidP="00354CA7">
            <w:pPr>
              <w:jc w:val="both"/>
              <w:rPr>
                <w:sz w:val="22"/>
                <w:szCs w:val="22"/>
              </w:rPr>
            </w:pPr>
          </w:p>
          <w:p w:rsidR="00056AD4" w:rsidRPr="00A65C03" w:rsidRDefault="00056AD4" w:rsidP="00354CA7">
            <w:pPr>
              <w:jc w:val="both"/>
              <w:rPr>
                <w:b/>
                <w:sz w:val="22"/>
                <w:szCs w:val="22"/>
              </w:rPr>
            </w:pPr>
            <w:r w:rsidRPr="00A65C03">
              <w:rPr>
                <w:b/>
                <w:sz w:val="22"/>
                <w:szCs w:val="22"/>
              </w:rPr>
              <w:t>Инфор</w:t>
            </w:r>
            <w:r w:rsidR="008C2591" w:rsidRPr="00A65C03">
              <w:rPr>
                <w:b/>
                <w:sz w:val="22"/>
                <w:szCs w:val="22"/>
              </w:rPr>
              <w:t>ма</w:t>
            </w:r>
            <w:r w:rsidR="005A1D77">
              <w:rPr>
                <w:b/>
                <w:sz w:val="22"/>
                <w:szCs w:val="22"/>
              </w:rPr>
              <w:t xml:space="preserve">ция о наличии кворума по </w:t>
            </w:r>
            <w:r w:rsidR="004B449B" w:rsidRPr="00A65C03">
              <w:rPr>
                <w:b/>
                <w:sz w:val="22"/>
                <w:szCs w:val="22"/>
              </w:rPr>
              <w:t>в</w:t>
            </w:r>
            <w:r w:rsidR="005A1D77">
              <w:rPr>
                <w:b/>
                <w:sz w:val="22"/>
                <w:szCs w:val="22"/>
              </w:rPr>
              <w:t>опросу</w:t>
            </w:r>
            <w:r w:rsidRPr="00A65C03">
              <w:rPr>
                <w:b/>
                <w:sz w:val="22"/>
                <w:szCs w:val="22"/>
              </w:rPr>
              <w:t xml:space="preserve"> повестки дня, определенного по данным участия в общем собрании акционеров - владельцев голосующих акций:</w:t>
            </w:r>
          </w:p>
          <w:p w:rsidR="00056AD4" w:rsidRPr="00A65C03" w:rsidRDefault="00056AD4" w:rsidP="00354CA7">
            <w:pPr>
              <w:jc w:val="both"/>
              <w:rPr>
                <w:sz w:val="22"/>
                <w:szCs w:val="22"/>
              </w:rPr>
            </w:pPr>
          </w:p>
        </w:tc>
      </w:tr>
      <w:tr w:rsidR="00056AD4" w:rsidRPr="00A65C03" w:rsidTr="00E2019E">
        <w:trPr>
          <w:trHeight w:val="1138"/>
        </w:trPr>
        <w:tc>
          <w:tcPr>
            <w:tcW w:w="6471" w:type="dxa"/>
            <w:shd w:val="clear" w:color="auto" w:fill="auto"/>
          </w:tcPr>
          <w:p w:rsidR="00056AD4" w:rsidRPr="00A65C03" w:rsidRDefault="00056AD4" w:rsidP="00354CA7">
            <w:pPr>
              <w:keepNext/>
              <w:spacing w:before="40" w:after="40"/>
              <w:jc w:val="both"/>
              <w:rPr>
                <w:sz w:val="22"/>
                <w:szCs w:val="22"/>
              </w:rPr>
            </w:pPr>
            <w:r w:rsidRPr="00A65C03">
              <w:rPr>
                <w:sz w:val="22"/>
                <w:szCs w:val="22"/>
              </w:rPr>
              <w:lastRenderedPageBreak/>
              <w:t>Число голосов, которыми обладали лица, включенные в список лиц, имевших право на участ</w:t>
            </w:r>
            <w:r w:rsidR="004B449B" w:rsidRPr="00A65C03">
              <w:rPr>
                <w:sz w:val="22"/>
                <w:szCs w:val="22"/>
              </w:rPr>
              <w:t>ие в общем собрании, по вопросам</w:t>
            </w:r>
            <w:r w:rsidRPr="00A65C03">
              <w:rPr>
                <w:sz w:val="22"/>
                <w:szCs w:val="22"/>
              </w:rPr>
              <w:t xml:space="preserve"> повестки дня общего собрания:</w:t>
            </w:r>
          </w:p>
          <w:p w:rsidR="00056AD4" w:rsidRPr="00A65C03" w:rsidRDefault="00056AD4" w:rsidP="00354CA7">
            <w:pPr>
              <w:keepNext/>
              <w:spacing w:before="40" w:after="40"/>
              <w:jc w:val="both"/>
              <w:rPr>
                <w:sz w:val="22"/>
                <w:szCs w:val="22"/>
              </w:rPr>
            </w:pPr>
          </w:p>
        </w:tc>
        <w:tc>
          <w:tcPr>
            <w:tcW w:w="2879" w:type="dxa"/>
            <w:shd w:val="clear" w:color="auto" w:fill="auto"/>
          </w:tcPr>
          <w:p w:rsidR="00056AD4" w:rsidRPr="00A65C03" w:rsidRDefault="00056AD4" w:rsidP="00354CA7">
            <w:pPr>
              <w:keepNext/>
              <w:spacing w:before="40" w:after="40"/>
              <w:jc w:val="right"/>
              <w:rPr>
                <w:sz w:val="22"/>
                <w:szCs w:val="22"/>
                <w:lang w:val="en-US"/>
              </w:rPr>
            </w:pPr>
            <w:r w:rsidRPr="00A65C03">
              <w:rPr>
                <w:sz w:val="22"/>
                <w:szCs w:val="22"/>
                <w:lang w:val="en-US"/>
              </w:rPr>
              <w:t>1 778 656</w:t>
            </w:r>
          </w:p>
          <w:p w:rsidR="00056AD4" w:rsidRPr="00A65C03" w:rsidRDefault="00056AD4" w:rsidP="00354CA7">
            <w:pPr>
              <w:keepNext/>
              <w:spacing w:before="40" w:after="40"/>
              <w:jc w:val="right"/>
              <w:rPr>
                <w:sz w:val="22"/>
                <w:szCs w:val="22"/>
                <w:lang w:val="en-US"/>
              </w:rPr>
            </w:pPr>
          </w:p>
        </w:tc>
      </w:tr>
      <w:tr w:rsidR="00056AD4" w:rsidRPr="00A65C03" w:rsidTr="00E2019E">
        <w:trPr>
          <w:trHeight w:val="801"/>
        </w:trPr>
        <w:tc>
          <w:tcPr>
            <w:tcW w:w="6471" w:type="dxa"/>
            <w:shd w:val="clear" w:color="auto" w:fill="auto"/>
          </w:tcPr>
          <w:p w:rsidR="00056AD4" w:rsidRPr="00A65C03" w:rsidRDefault="00056AD4" w:rsidP="00354CA7">
            <w:pPr>
              <w:keepNext/>
              <w:spacing w:before="40" w:after="40"/>
              <w:jc w:val="both"/>
              <w:rPr>
                <w:sz w:val="22"/>
                <w:szCs w:val="22"/>
              </w:rPr>
            </w:pPr>
            <w:r w:rsidRPr="00A65C03">
              <w:rPr>
                <w:sz w:val="22"/>
                <w:szCs w:val="22"/>
              </w:rPr>
              <w:t>Число голосов, приходившихся на голос</w:t>
            </w:r>
            <w:r w:rsidR="008C2591" w:rsidRPr="00A65C03">
              <w:rPr>
                <w:sz w:val="22"/>
                <w:szCs w:val="22"/>
              </w:rPr>
              <w:t xml:space="preserve">ующие акции </w:t>
            </w:r>
            <w:r w:rsidR="004B449B" w:rsidRPr="00A65C03">
              <w:rPr>
                <w:sz w:val="22"/>
                <w:szCs w:val="22"/>
              </w:rPr>
              <w:t>общества по вопросам</w:t>
            </w:r>
            <w:r w:rsidRPr="00A65C03">
              <w:rPr>
                <w:sz w:val="22"/>
                <w:szCs w:val="22"/>
              </w:rPr>
              <w:t xml:space="preserve"> повестки дня общего собрани</w:t>
            </w:r>
            <w:r w:rsidR="004409AF" w:rsidRPr="00A65C03">
              <w:rPr>
                <w:sz w:val="22"/>
                <w:szCs w:val="22"/>
              </w:rPr>
              <w:t xml:space="preserve">я, определенное с учетом п. 4.24 </w:t>
            </w:r>
            <w:r w:rsidRPr="00A65C03">
              <w:rPr>
                <w:sz w:val="22"/>
                <w:szCs w:val="22"/>
              </w:rPr>
              <w:t xml:space="preserve">  Положения Банка России «Об общих собраниях акционеров» № 660-П от 16.11.2018 г.</w:t>
            </w:r>
          </w:p>
        </w:tc>
        <w:tc>
          <w:tcPr>
            <w:tcW w:w="2879" w:type="dxa"/>
            <w:shd w:val="clear" w:color="auto" w:fill="auto"/>
          </w:tcPr>
          <w:p w:rsidR="00056AD4" w:rsidRPr="00A65C03" w:rsidRDefault="00056AD4" w:rsidP="00354CA7">
            <w:pPr>
              <w:keepNext/>
              <w:spacing w:before="40" w:after="40"/>
              <w:jc w:val="right"/>
              <w:rPr>
                <w:sz w:val="22"/>
                <w:szCs w:val="22"/>
              </w:rPr>
            </w:pPr>
            <w:r w:rsidRPr="00A65C03">
              <w:rPr>
                <w:sz w:val="22"/>
                <w:szCs w:val="22"/>
              </w:rPr>
              <w:t>1 778 656</w:t>
            </w:r>
          </w:p>
          <w:p w:rsidR="00056AD4" w:rsidRPr="00A65C03" w:rsidRDefault="00056AD4" w:rsidP="00354CA7">
            <w:pPr>
              <w:keepNext/>
              <w:spacing w:before="40" w:after="40"/>
              <w:jc w:val="right"/>
              <w:rPr>
                <w:sz w:val="22"/>
                <w:szCs w:val="22"/>
              </w:rPr>
            </w:pPr>
          </w:p>
        </w:tc>
      </w:tr>
      <w:tr w:rsidR="00056AD4" w:rsidRPr="00A65C03" w:rsidTr="00E2019E">
        <w:trPr>
          <w:trHeight w:val="840"/>
        </w:trPr>
        <w:tc>
          <w:tcPr>
            <w:tcW w:w="6471" w:type="dxa"/>
            <w:shd w:val="clear" w:color="auto" w:fill="auto"/>
          </w:tcPr>
          <w:p w:rsidR="00056AD4" w:rsidRPr="00A65C03" w:rsidRDefault="00056AD4" w:rsidP="00354CA7">
            <w:pPr>
              <w:keepNext/>
              <w:spacing w:before="40" w:after="40"/>
              <w:jc w:val="both"/>
              <w:rPr>
                <w:sz w:val="22"/>
                <w:szCs w:val="22"/>
              </w:rPr>
            </w:pPr>
            <w:r w:rsidRPr="00A65C03">
              <w:rPr>
                <w:sz w:val="22"/>
                <w:szCs w:val="22"/>
              </w:rPr>
              <w:t>Число голосов, которыми обладали лица, принявшие участие в общем</w:t>
            </w:r>
            <w:r w:rsidR="004B449B" w:rsidRPr="00A65C03">
              <w:rPr>
                <w:sz w:val="22"/>
                <w:szCs w:val="22"/>
              </w:rPr>
              <w:t xml:space="preserve"> собрании, по вопросам</w:t>
            </w:r>
            <w:r w:rsidR="008C2591" w:rsidRPr="00A65C03">
              <w:rPr>
                <w:sz w:val="22"/>
                <w:szCs w:val="22"/>
              </w:rPr>
              <w:t xml:space="preserve"> </w:t>
            </w:r>
            <w:r w:rsidRPr="00A65C03">
              <w:rPr>
                <w:sz w:val="22"/>
                <w:szCs w:val="22"/>
              </w:rPr>
              <w:t>повестки дня общего собрания:</w:t>
            </w:r>
          </w:p>
        </w:tc>
        <w:tc>
          <w:tcPr>
            <w:tcW w:w="2879" w:type="dxa"/>
            <w:shd w:val="clear" w:color="auto" w:fill="auto"/>
          </w:tcPr>
          <w:p w:rsidR="00056AD4" w:rsidRPr="00A65C03" w:rsidRDefault="00056AD4" w:rsidP="00354CA7">
            <w:pPr>
              <w:keepNext/>
              <w:spacing w:before="40" w:after="40"/>
              <w:jc w:val="right"/>
              <w:rPr>
                <w:sz w:val="22"/>
                <w:szCs w:val="22"/>
              </w:rPr>
            </w:pPr>
            <w:r w:rsidRPr="00A65C03">
              <w:rPr>
                <w:sz w:val="22"/>
                <w:szCs w:val="22"/>
                <w:lang w:val="en-US"/>
              </w:rPr>
              <w:t xml:space="preserve">1 774 </w:t>
            </w:r>
            <w:r w:rsidRPr="00A65C03">
              <w:rPr>
                <w:sz w:val="22"/>
                <w:szCs w:val="22"/>
              </w:rPr>
              <w:t>348</w:t>
            </w:r>
          </w:p>
          <w:p w:rsidR="00056AD4" w:rsidRPr="00A65C03" w:rsidRDefault="00056AD4" w:rsidP="00354CA7">
            <w:pPr>
              <w:keepNext/>
              <w:spacing w:before="40" w:after="40"/>
              <w:jc w:val="right"/>
              <w:rPr>
                <w:sz w:val="22"/>
                <w:szCs w:val="22"/>
                <w:lang w:val="en-US"/>
              </w:rPr>
            </w:pPr>
          </w:p>
        </w:tc>
      </w:tr>
      <w:tr w:rsidR="00056AD4" w:rsidRPr="00A65C03" w:rsidTr="00E2019E">
        <w:trPr>
          <w:trHeight w:val="615"/>
        </w:trPr>
        <w:tc>
          <w:tcPr>
            <w:tcW w:w="6471" w:type="dxa"/>
            <w:shd w:val="clear" w:color="auto" w:fill="auto"/>
          </w:tcPr>
          <w:p w:rsidR="00056AD4" w:rsidRPr="00A65C03" w:rsidRDefault="00056AD4" w:rsidP="00354CA7">
            <w:pPr>
              <w:keepNext/>
              <w:spacing w:before="40" w:after="40"/>
              <w:rPr>
                <w:b/>
                <w:bCs/>
                <w:sz w:val="22"/>
                <w:szCs w:val="22"/>
              </w:rPr>
            </w:pPr>
            <w:r w:rsidRPr="00A65C03">
              <w:rPr>
                <w:b/>
                <w:bCs/>
                <w:sz w:val="22"/>
                <w:szCs w:val="22"/>
              </w:rPr>
              <w:t>Наличие кворума:</w:t>
            </w:r>
          </w:p>
        </w:tc>
        <w:tc>
          <w:tcPr>
            <w:tcW w:w="2879" w:type="dxa"/>
            <w:shd w:val="clear" w:color="auto" w:fill="auto"/>
          </w:tcPr>
          <w:p w:rsidR="00056AD4" w:rsidRPr="00A65C03" w:rsidRDefault="00056AD4" w:rsidP="00354CA7">
            <w:pPr>
              <w:keepNext/>
              <w:spacing w:before="40" w:after="40"/>
              <w:jc w:val="right"/>
              <w:rPr>
                <w:b/>
                <w:bCs/>
                <w:sz w:val="22"/>
                <w:szCs w:val="22"/>
                <w:lang w:val="en-US"/>
              </w:rPr>
            </w:pPr>
            <w:r w:rsidRPr="00A65C03">
              <w:rPr>
                <w:b/>
                <w:bCs/>
                <w:sz w:val="22"/>
                <w:szCs w:val="22"/>
              </w:rPr>
              <w:t xml:space="preserve">     </w:t>
            </w:r>
            <w:r w:rsidRPr="00A65C03">
              <w:rPr>
                <w:b/>
                <w:bCs/>
                <w:sz w:val="22"/>
                <w:szCs w:val="22"/>
                <w:lang w:val="en-US"/>
              </w:rPr>
              <w:t>есть (99,76%)</w:t>
            </w:r>
          </w:p>
          <w:p w:rsidR="00056AD4" w:rsidRPr="00A65C03" w:rsidRDefault="00056AD4" w:rsidP="00354CA7">
            <w:pPr>
              <w:keepNext/>
              <w:spacing w:before="40" w:after="40"/>
              <w:jc w:val="right"/>
              <w:rPr>
                <w:b/>
                <w:bCs/>
                <w:sz w:val="22"/>
                <w:szCs w:val="22"/>
                <w:lang w:val="en-US"/>
              </w:rPr>
            </w:pPr>
          </w:p>
        </w:tc>
      </w:tr>
    </w:tbl>
    <w:p w:rsidR="00E2019E" w:rsidRPr="00A65C03" w:rsidRDefault="00E2019E" w:rsidP="00E2019E">
      <w:pPr>
        <w:jc w:val="both"/>
        <w:rPr>
          <w:b/>
          <w:sz w:val="22"/>
          <w:szCs w:val="22"/>
        </w:rPr>
      </w:pPr>
    </w:p>
    <w:p w:rsidR="00E2019E" w:rsidRPr="00A65C03" w:rsidRDefault="005A1D77" w:rsidP="00E2019E">
      <w:pPr>
        <w:jc w:val="both"/>
        <w:rPr>
          <w:b/>
          <w:sz w:val="22"/>
          <w:szCs w:val="22"/>
        </w:rPr>
      </w:pPr>
      <w:r>
        <w:rPr>
          <w:b/>
          <w:sz w:val="22"/>
          <w:szCs w:val="22"/>
        </w:rPr>
        <w:t>Информация о наличии кворума по</w:t>
      </w:r>
      <w:r w:rsidR="00FF0267" w:rsidRPr="00A65C03">
        <w:rPr>
          <w:b/>
          <w:sz w:val="22"/>
          <w:szCs w:val="22"/>
        </w:rPr>
        <w:t xml:space="preserve"> </w:t>
      </w:r>
      <w:r w:rsidR="00E2019E" w:rsidRPr="00A65C03">
        <w:rPr>
          <w:b/>
          <w:bCs/>
          <w:sz w:val="22"/>
          <w:szCs w:val="22"/>
        </w:rPr>
        <w:t>вопрос</w:t>
      </w:r>
      <w:r>
        <w:rPr>
          <w:b/>
          <w:bCs/>
          <w:sz w:val="22"/>
          <w:szCs w:val="22"/>
        </w:rPr>
        <w:t>у</w:t>
      </w:r>
      <w:r w:rsidR="00E2019E" w:rsidRPr="00A65C03">
        <w:rPr>
          <w:b/>
          <w:sz w:val="22"/>
          <w:szCs w:val="22"/>
        </w:rPr>
        <w:t xml:space="preserve"> повестки дня, определенного по данным участия в общем собрании акционеров - владельцев голосующих акци</w:t>
      </w:r>
      <w:r w:rsidR="00CF4280" w:rsidRPr="00A65C03">
        <w:rPr>
          <w:b/>
          <w:sz w:val="22"/>
          <w:szCs w:val="22"/>
        </w:rPr>
        <w:t xml:space="preserve">й, не </w:t>
      </w:r>
      <w:r w:rsidR="00FF0267" w:rsidRPr="00A65C03">
        <w:rPr>
          <w:b/>
          <w:sz w:val="22"/>
          <w:szCs w:val="22"/>
        </w:rPr>
        <w:t>заинтересованных в сделках</w:t>
      </w:r>
      <w:r w:rsidR="00E2019E" w:rsidRPr="00A65C03">
        <w:rPr>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A65C03" w:rsidTr="00354CA7">
        <w:trPr>
          <w:cantSplit/>
        </w:trPr>
        <w:tc>
          <w:tcPr>
            <w:tcW w:w="7520" w:type="dxa"/>
            <w:shd w:val="clear" w:color="auto" w:fill="auto"/>
          </w:tcPr>
          <w:p w:rsidR="00E2019E" w:rsidRPr="00A65C03" w:rsidRDefault="00E2019E" w:rsidP="00E2019E">
            <w:pPr>
              <w:keepNext/>
              <w:spacing w:before="40" w:after="40"/>
              <w:jc w:val="both"/>
              <w:rPr>
                <w:sz w:val="22"/>
                <w:szCs w:val="22"/>
              </w:rPr>
            </w:pPr>
            <w:r w:rsidRPr="00A65C03">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A65C03" w:rsidRDefault="00E2019E" w:rsidP="00E2019E">
            <w:pPr>
              <w:keepNext/>
              <w:spacing w:before="40" w:after="40"/>
              <w:jc w:val="right"/>
              <w:rPr>
                <w:sz w:val="22"/>
                <w:szCs w:val="22"/>
                <w:lang w:val="en-US"/>
              </w:rPr>
            </w:pPr>
            <w:r w:rsidRPr="00A65C03">
              <w:rPr>
                <w:sz w:val="22"/>
                <w:szCs w:val="22"/>
                <w:lang w:val="en-US"/>
              </w:rPr>
              <w:t>20 382</w:t>
            </w:r>
          </w:p>
        </w:tc>
      </w:tr>
      <w:tr w:rsidR="00E2019E" w:rsidRPr="00A65C03" w:rsidTr="00354CA7">
        <w:trPr>
          <w:cantSplit/>
        </w:trPr>
        <w:tc>
          <w:tcPr>
            <w:tcW w:w="7520" w:type="dxa"/>
            <w:shd w:val="clear" w:color="auto" w:fill="auto"/>
          </w:tcPr>
          <w:p w:rsidR="00E2019E" w:rsidRPr="00A65C03" w:rsidRDefault="00E2019E" w:rsidP="00E2019E">
            <w:pPr>
              <w:keepNext/>
              <w:spacing w:before="40" w:after="40"/>
              <w:rPr>
                <w:b/>
                <w:bCs/>
                <w:sz w:val="22"/>
                <w:szCs w:val="22"/>
              </w:rPr>
            </w:pPr>
            <w:r w:rsidRPr="00A65C03">
              <w:rPr>
                <w:b/>
                <w:bCs/>
                <w:sz w:val="22"/>
                <w:szCs w:val="22"/>
              </w:rPr>
              <w:t>Наличие кворума:</w:t>
            </w:r>
          </w:p>
        </w:tc>
        <w:tc>
          <w:tcPr>
            <w:tcW w:w="1830" w:type="dxa"/>
            <w:shd w:val="clear" w:color="auto" w:fill="auto"/>
            <w:vAlign w:val="bottom"/>
          </w:tcPr>
          <w:p w:rsidR="00E2019E" w:rsidRPr="00A65C03" w:rsidRDefault="00E2019E" w:rsidP="00E2019E">
            <w:pPr>
              <w:keepNext/>
              <w:spacing w:before="40" w:after="40"/>
              <w:jc w:val="center"/>
              <w:rPr>
                <w:b/>
                <w:bCs/>
                <w:sz w:val="22"/>
                <w:szCs w:val="22"/>
                <w:lang w:val="en-US"/>
              </w:rPr>
            </w:pPr>
            <w:r w:rsidRPr="00A65C03">
              <w:rPr>
                <w:b/>
                <w:bCs/>
                <w:sz w:val="22"/>
                <w:szCs w:val="22"/>
              </w:rPr>
              <w:t xml:space="preserve">                  </w:t>
            </w:r>
            <w:r w:rsidRPr="00A65C03">
              <w:rPr>
                <w:b/>
                <w:bCs/>
                <w:sz w:val="22"/>
                <w:szCs w:val="22"/>
                <w:lang w:val="en-US"/>
              </w:rPr>
              <w:t>***</w:t>
            </w:r>
          </w:p>
        </w:tc>
      </w:tr>
    </w:tbl>
    <w:p w:rsidR="00E2019E" w:rsidRPr="00A65C03" w:rsidRDefault="00E2019E" w:rsidP="00E2019E">
      <w:pPr>
        <w:jc w:val="both"/>
        <w:rPr>
          <w:i/>
          <w:sz w:val="22"/>
          <w:szCs w:val="22"/>
        </w:rPr>
      </w:pPr>
      <w:r w:rsidRPr="00A65C03">
        <w:rPr>
          <w:i/>
          <w:sz w:val="22"/>
          <w:szCs w:val="22"/>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A65C03" w:rsidRDefault="00E2019E" w:rsidP="00E2019E">
      <w:pPr>
        <w:autoSpaceDE w:val="0"/>
        <w:autoSpaceDN w:val="0"/>
        <w:adjustRightInd w:val="0"/>
        <w:jc w:val="both"/>
        <w:rPr>
          <w:i/>
          <w:sz w:val="22"/>
          <w:szCs w:val="22"/>
        </w:rPr>
      </w:pPr>
      <w:r w:rsidRPr="00A65C03">
        <w:rPr>
          <w:sz w:val="22"/>
          <w:szCs w:val="22"/>
        </w:rPr>
        <w:t xml:space="preserve">*** </w:t>
      </w:r>
      <w:r w:rsidRPr="00A65C03">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A65C03" w:rsidRDefault="00E2019E" w:rsidP="00E2019E">
      <w:pPr>
        <w:jc w:val="both"/>
        <w:rPr>
          <w:sz w:val="22"/>
          <w:szCs w:val="22"/>
        </w:rPr>
      </w:pPr>
      <w:r w:rsidRPr="00A65C03">
        <w:rPr>
          <w:sz w:val="22"/>
          <w:szCs w:val="22"/>
        </w:rPr>
        <w:t xml:space="preserve">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 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A65C03" w:rsidRDefault="00E2019E" w:rsidP="00E2019E">
      <w:pPr>
        <w:jc w:val="both"/>
        <w:rPr>
          <w:sz w:val="22"/>
          <w:szCs w:val="22"/>
        </w:rPr>
      </w:pPr>
      <w:r w:rsidRPr="00A65C03">
        <w:rPr>
          <w:sz w:val="22"/>
          <w:szCs w:val="22"/>
        </w:rPr>
        <w:t xml:space="preserve">Подконтрольное лицо заинтересованных лиц по сделкам Общества согласно </w:t>
      </w:r>
      <w:r w:rsidR="006426B4">
        <w:rPr>
          <w:sz w:val="22"/>
          <w:szCs w:val="22"/>
        </w:rPr>
        <w:t>вопросу</w:t>
      </w:r>
      <w:r w:rsidRPr="00A65C03">
        <w:rPr>
          <w:sz w:val="22"/>
          <w:szCs w:val="22"/>
        </w:rPr>
        <w:t xml:space="preserve"> повестки дня собрания</w:t>
      </w:r>
      <w:r w:rsidR="006426B4">
        <w:rPr>
          <w:sz w:val="22"/>
          <w:szCs w:val="22"/>
        </w:rPr>
        <w:t>, а также заинтересованное лицо</w:t>
      </w:r>
      <w:r w:rsidRPr="00A65C03">
        <w:rPr>
          <w:sz w:val="22"/>
          <w:szCs w:val="22"/>
        </w:rPr>
        <w:t xml:space="preserve">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E2019E" w:rsidRPr="00A65C03" w:rsidRDefault="00E2019E" w:rsidP="00E2019E">
      <w:pPr>
        <w:overflowPunct w:val="0"/>
        <w:autoSpaceDE w:val="0"/>
        <w:autoSpaceDN w:val="0"/>
        <w:adjustRightInd w:val="0"/>
        <w:spacing w:before="60"/>
        <w:ind w:firstLine="708"/>
        <w:jc w:val="both"/>
        <w:rPr>
          <w:sz w:val="22"/>
          <w:szCs w:val="22"/>
        </w:rPr>
      </w:pPr>
      <w:r w:rsidRPr="00A65C03">
        <w:rPr>
          <w:sz w:val="22"/>
          <w:szCs w:val="22"/>
        </w:rPr>
        <w:t>Кворум для проведения соб</w:t>
      </w:r>
      <w:r w:rsidR="00787EDC" w:rsidRPr="00A65C03">
        <w:rPr>
          <w:sz w:val="22"/>
          <w:szCs w:val="22"/>
        </w:rPr>
        <w:t>рания и принятия решений</w:t>
      </w:r>
      <w:r w:rsidR="004B69D1" w:rsidRPr="00A65C03">
        <w:rPr>
          <w:sz w:val="22"/>
          <w:szCs w:val="22"/>
        </w:rPr>
        <w:t xml:space="preserve"> по</w:t>
      </w:r>
      <w:r w:rsidRPr="00A65C03">
        <w:rPr>
          <w:sz w:val="22"/>
          <w:szCs w:val="22"/>
        </w:rPr>
        <w:t xml:space="preserve"> в</w:t>
      </w:r>
      <w:r w:rsidR="006426B4">
        <w:rPr>
          <w:sz w:val="22"/>
          <w:szCs w:val="22"/>
        </w:rPr>
        <w:t>опросу</w:t>
      </w:r>
      <w:r w:rsidRPr="00A65C03">
        <w:rPr>
          <w:sz w:val="22"/>
          <w:szCs w:val="22"/>
        </w:rPr>
        <w:t xml:space="preserve"> повестки дня имелся.</w:t>
      </w:r>
    </w:p>
    <w:p w:rsidR="008F0CEC" w:rsidRDefault="008F0CEC" w:rsidP="00055939">
      <w:pPr>
        <w:spacing w:before="60"/>
        <w:jc w:val="center"/>
        <w:rPr>
          <w:b/>
          <w:sz w:val="22"/>
          <w:szCs w:val="22"/>
          <w:u w:val="single"/>
        </w:rPr>
      </w:pPr>
    </w:p>
    <w:p w:rsidR="00055939" w:rsidRPr="00A65C03" w:rsidRDefault="00055939" w:rsidP="00055939">
      <w:pPr>
        <w:spacing w:before="60"/>
        <w:jc w:val="center"/>
        <w:rPr>
          <w:b/>
          <w:sz w:val="22"/>
          <w:szCs w:val="22"/>
          <w:u w:val="single"/>
        </w:rPr>
      </w:pPr>
      <w:r w:rsidRPr="00A65C03">
        <w:rPr>
          <w:b/>
          <w:sz w:val="22"/>
          <w:szCs w:val="22"/>
          <w:u w:val="single"/>
        </w:rPr>
        <w:t>Повестка дня</w:t>
      </w:r>
      <w:r w:rsidR="008C2591" w:rsidRPr="00A65C03">
        <w:rPr>
          <w:b/>
          <w:sz w:val="22"/>
          <w:szCs w:val="22"/>
          <w:u w:val="single"/>
        </w:rPr>
        <w:t xml:space="preserve"> внеочередного</w:t>
      </w:r>
      <w:r w:rsidR="00384DC8" w:rsidRPr="00A65C03">
        <w:rPr>
          <w:b/>
          <w:sz w:val="22"/>
          <w:szCs w:val="22"/>
          <w:u w:val="single"/>
        </w:rPr>
        <w:t xml:space="preserve"> </w:t>
      </w:r>
      <w:r w:rsidRPr="00A65C03">
        <w:rPr>
          <w:b/>
          <w:sz w:val="22"/>
          <w:szCs w:val="22"/>
          <w:u w:val="single"/>
        </w:rPr>
        <w:t>общего собрания акционеров:</w:t>
      </w:r>
    </w:p>
    <w:p w:rsidR="00225980" w:rsidRPr="00A65C03" w:rsidRDefault="00225980" w:rsidP="00225980">
      <w:pPr>
        <w:pStyle w:val="af"/>
        <w:jc w:val="both"/>
        <w:rPr>
          <w:sz w:val="22"/>
          <w:szCs w:val="22"/>
        </w:rPr>
      </w:pPr>
    </w:p>
    <w:p w:rsidR="00F710B6" w:rsidRPr="00A65C03" w:rsidRDefault="00F710B6" w:rsidP="00F710B6">
      <w:pPr>
        <w:jc w:val="both"/>
        <w:rPr>
          <w:b/>
          <w:caps/>
          <w:sz w:val="22"/>
          <w:szCs w:val="22"/>
        </w:rPr>
      </w:pPr>
      <w:r>
        <w:rPr>
          <w:sz w:val="22"/>
          <w:szCs w:val="22"/>
        </w:rPr>
        <w:t xml:space="preserve">1. </w:t>
      </w:r>
      <w:r w:rsidRPr="00330972">
        <w:rPr>
          <w:sz w:val="22"/>
          <w:szCs w:val="22"/>
        </w:rPr>
        <w:t>О согласии на совершение Обществом сделки, в совершении которой имеется заинтересованность, - заключение</w:t>
      </w:r>
      <w:r w:rsidRPr="00330972">
        <w:rPr>
          <w:iCs/>
          <w:sz w:val="22"/>
          <w:szCs w:val="22"/>
        </w:rPr>
        <w:t xml:space="preserve"> между Обществом и АО</w:t>
      </w:r>
      <w:r w:rsidRPr="00330972">
        <w:rPr>
          <w:sz w:val="22"/>
          <w:szCs w:val="22"/>
        </w:rPr>
        <w:t xml:space="preserve"> «Райффайзенбанк»</w:t>
      </w:r>
      <w:r w:rsidRPr="00330972">
        <w:rPr>
          <w:iCs/>
          <w:sz w:val="22"/>
          <w:szCs w:val="22"/>
        </w:rPr>
        <w:t xml:space="preserve"> договора поручительства</w:t>
      </w:r>
      <w:r w:rsidRPr="00330972">
        <w:rPr>
          <w:sz w:val="22"/>
          <w:szCs w:val="22"/>
          <w:lang w:val="x-none" w:eastAsia="x-none"/>
        </w:rPr>
        <w:t xml:space="preserve"> с целью обеспечения обязательств</w:t>
      </w:r>
      <w:r w:rsidRPr="00330972">
        <w:rPr>
          <w:iCs/>
          <w:sz w:val="22"/>
          <w:szCs w:val="22"/>
        </w:rPr>
        <w:t xml:space="preserve"> принципала АО «ГМС Нефтемаш» по Соглашению</w:t>
      </w:r>
      <w:r w:rsidRPr="00330972">
        <w:rPr>
          <w:sz w:val="22"/>
          <w:szCs w:val="22"/>
        </w:rPr>
        <w:t xml:space="preserve"> о выдаче банковских гарантий между </w:t>
      </w:r>
      <w:r w:rsidRPr="00330972">
        <w:rPr>
          <w:iCs/>
          <w:sz w:val="22"/>
          <w:szCs w:val="22"/>
        </w:rPr>
        <w:t>АО «ГМС Нефтемаш» и АО</w:t>
      </w:r>
      <w:r w:rsidRPr="00330972">
        <w:rPr>
          <w:sz w:val="22"/>
          <w:szCs w:val="22"/>
        </w:rPr>
        <w:t xml:space="preserve"> «Райффайзенбанк»</w:t>
      </w:r>
      <w:r>
        <w:rPr>
          <w:sz w:val="22"/>
          <w:szCs w:val="22"/>
        </w:rPr>
        <w:t>.</w:t>
      </w:r>
    </w:p>
    <w:p w:rsidR="00A04C1B" w:rsidRPr="00230CCE" w:rsidRDefault="00A04C1B" w:rsidP="00A04C1B">
      <w:pPr>
        <w:jc w:val="both"/>
        <w:rPr>
          <w:sz w:val="22"/>
          <w:szCs w:val="22"/>
        </w:rPr>
      </w:pPr>
    </w:p>
    <w:p w:rsidR="00055939" w:rsidRPr="00A65C03" w:rsidRDefault="00055939" w:rsidP="00055939">
      <w:pPr>
        <w:jc w:val="center"/>
        <w:rPr>
          <w:b/>
          <w:sz w:val="22"/>
          <w:szCs w:val="22"/>
          <w:u w:val="single"/>
        </w:rPr>
      </w:pPr>
      <w:r w:rsidRPr="00A65C03">
        <w:rPr>
          <w:b/>
          <w:sz w:val="22"/>
          <w:szCs w:val="22"/>
          <w:u w:val="single"/>
        </w:rPr>
        <w:t>Результат</w:t>
      </w:r>
      <w:r w:rsidR="008E59E2">
        <w:rPr>
          <w:b/>
          <w:sz w:val="22"/>
          <w:szCs w:val="22"/>
          <w:u w:val="single"/>
        </w:rPr>
        <w:t xml:space="preserve"> голосования и формулировка решения</w:t>
      </w:r>
    </w:p>
    <w:p w:rsidR="00055939" w:rsidRPr="00A65C03" w:rsidRDefault="008E59E2" w:rsidP="00055939">
      <w:pPr>
        <w:jc w:val="center"/>
        <w:rPr>
          <w:b/>
          <w:sz w:val="22"/>
          <w:szCs w:val="22"/>
          <w:u w:val="single"/>
        </w:rPr>
      </w:pPr>
      <w:r>
        <w:rPr>
          <w:b/>
          <w:sz w:val="22"/>
          <w:szCs w:val="22"/>
          <w:u w:val="single"/>
        </w:rPr>
        <w:t>по вопросу</w:t>
      </w:r>
      <w:r w:rsidR="008C2591" w:rsidRPr="00A65C03">
        <w:rPr>
          <w:b/>
          <w:sz w:val="22"/>
          <w:szCs w:val="22"/>
          <w:u w:val="single"/>
        </w:rPr>
        <w:t xml:space="preserve"> повестки дня</w:t>
      </w:r>
      <w:r w:rsidR="00055939" w:rsidRPr="00A65C03">
        <w:rPr>
          <w:b/>
          <w:sz w:val="22"/>
          <w:szCs w:val="22"/>
          <w:u w:val="single"/>
        </w:rPr>
        <w:t xml:space="preserve"> общего собрания акционеров Общества:</w:t>
      </w:r>
    </w:p>
    <w:p w:rsidR="000A7F39" w:rsidRPr="00A65C03" w:rsidRDefault="000A7F39" w:rsidP="00055939">
      <w:pPr>
        <w:jc w:val="center"/>
        <w:rPr>
          <w:b/>
          <w:sz w:val="22"/>
          <w:szCs w:val="22"/>
        </w:rPr>
      </w:pPr>
    </w:p>
    <w:p w:rsidR="00FA3C30" w:rsidRPr="00A65C03" w:rsidRDefault="00055939" w:rsidP="00FA3C30">
      <w:pPr>
        <w:jc w:val="both"/>
        <w:rPr>
          <w:b/>
          <w:caps/>
          <w:sz w:val="22"/>
          <w:szCs w:val="22"/>
        </w:rPr>
      </w:pPr>
      <w:r w:rsidRPr="00A65C03">
        <w:rPr>
          <w:b/>
          <w:caps/>
          <w:sz w:val="22"/>
          <w:szCs w:val="22"/>
        </w:rPr>
        <w:t xml:space="preserve">По вопросу № 1: </w:t>
      </w:r>
      <w:r w:rsidR="00AA7351" w:rsidRPr="00330972">
        <w:rPr>
          <w:sz w:val="22"/>
          <w:szCs w:val="22"/>
        </w:rPr>
        <w:t>О согласии на совершение Обществом сделки, в совершении которой имеется заинтересованность, - заключение</w:t>
      </w:r>
      <w:r w:rsidR="00AA7351" w:rsidRPr="00330972">
        <w:rPr>
          <w:iCs/>
          <w:sz w:val="22"/>
          <w:szCs w:val="22"/>
        </w:rPr>
        <w:t xml:space="preserve"> между Обществом и АО</w:t>
      </w:r>
      <w:r w:rsidR="00AA7351" w:rsidRPr="00330972">
        <w:rPr>
          <w:sz w:val="22"/>
          <w:szCs w:val="22"/>
        </w:rPr>
        <w:t xml:space="preserve"> «Райффайзенбанк»</w:t>
      </w:r>
      <w:r w:rsidR="00AA7351" w:rsidRPr="00330972">
        <w:rPr>
          <w:iCs/>
          <w:sz w:val="22"/>
          <w:szCs w:val="22"/>
        </w:rPr>
        <w:t xml:space="preserve"> договора поручительства</w:t>
      </w:r>
      <w:r w:rsidR="00AA7351" w:rsidRPr="00330972">
        <w:rPr>
          <w:sz w:val="22"/>
          <w:szCs w:val="22"/>
          <w:lang w:val="x-none" w:eastAsia="x-none"/>
        </w:rPr>
        <w:t xml:space="preserve"> с целью обеспечения обязательств</w:t>
      </w:r>
      <w:r w:rsidR="00AA7351" w:rsidRPr="00330972">
        <w:rPr>
          <w:iCs/>
          <w:sz w:val="22"/>
          <w:szCs w:val="22"/>
        </w:rPr>
        <w:t xml:space="preserve"> принципала АО «ГМС Нефтемаш» по Соглашению</w:t>
      </w:r>
      <w:r w:rsidR="00AA7351" w:rsidRPr="00330972">
        <w:rPr>
          <w:sz w:val="22"/>
          <w:szCs w:val="22"/>
        </w:rPr>
        <w:t xml:space="preserve"> о выдаче банковских гарантий между </w:t>
      </w:r>
      <w:r w:rsidR="00AA7351" w:rsidRPr="00330972">
        <w:rPr>
          <w:iCs/>
          <w:sz w:val="22"/>
          <w:szCs w:val="22"/>
        </w:rPr>
        <w:t>АО «ГМС Нефтемаш» и АО</w:t>
      </w:r>
      <w:r w:rsidR="00AA7351" w:rsidRPr="00330972">
        <w:rPr>
          <w:sz w:val="22"/>
          <w:szCs w:val="22"/>
        </w:rPr>
        <w:t xml:space="preserve"> «Райффайзенбанк»</w:t>
      </w:r>
      <w:r w:rsidR="00AA7351">
        <w:rPr>
          <w:sz w:val="22"/>
          <w:szCs w:val="22"/>
        </w:rPr>
        <w:t>.</w:t>
      </w:r>
    </w:p>
    <w:p w:rsidR="00CF4280" w:rsidRPr="00A65C03" w:rsidRDefault="00CF4280" w:rsidP="00CF4280">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A65C03" w:rsidTr="00354CA7">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A65C03" w:rsidRDefault="00CF4280" w:rsidP="00CF4280">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CF4280" w:rsidRPr="00A65C03" w:rsidTr="00354CA7">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r>
      <w:tr w:rsidR="00CF4280" w:rsidRPr="00A65C03" w:rsidTr="00354CA7">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r>
      <w:tr w:rsidR="00CF4280" w:rsidRPr="00A65C03" w:rsidTr="00354CA7">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r w:rsidR="00CF4280" w:rsidRPr="00A65C03" w:rsidTr="00354CA7">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bl>
    <w:p w:rsidR="00CF4280" w:rsidRPr="00A65C03" w:rsidRDefault="00CF4280" w:rsidP="00CF4280">
      <w:pPr>
        <w:ind w:firstLine="708"/>
        <w:jc w:val="both"/>
        <w:rPr>
          <w:b/>
          <w:color w:val="1F4E79"/>
          <w:sz w:val="22"/>
          <w:szCs w:val="22"/>
        </w:rPr>
      </w:pPr>
    </w:p>
    <w:p w:rsidR="00153DE3" w:rsidRPr="00A65C03" w:rsidRDefault="00153DE3" w:rsidP="00153DE3">
      <w:pPr>
        <w:tabs>
          <w:tab w:val="left" w:pos="9000"/>
        </w:tabs>
        <w:rPr>
          <w:b/>
          <w:bCs/>
          <w:sz w:val="22"/>
          <w:szCs w:val="22"/>
        </w:rPr>
      </w:pPr>
      <w:r w:rsidRPr="00A65C03">
        <w:rPr>
          <w:b/>
          <w:bCs/>
          <w:sz w:val="22"/>
          <w:szCs w:val="22"/>
        </w:rPr>
        <w:t>Кворум для принятия решения по данному вопросу имеется.</w:t>
      </w:r>
    </w:p>
    <w:p w:rsidR="00D77B7B" w:rsidRPr="00A65C03" w:rsidRDefault="00D77B7B" w:rsidP="00153DE3">
      <w:pPr>
        <w:tabs>
          <w:tab w:val="left" w:pos="9000"/>
        </w:tabs>
        <w:jc w:val="center"/>
        <w:rPr>
          <w:sz w:val="22"/>
          <w:szCs w:val="22"/>
        </w:rPr>
      </w:pPr>
    </w:p>
    <w:p w:rsidR="00153DE3" w:rsidRPr="00A65C03" w:rsidRDefault="00153DE3" w:rsidP="00153DE3">
      <w:pPr>
        <w:tabs>
          <w:tab w:val="left" w:pos="9000"/>
        </w:tabs>
        <w:jc w:val="center"/>
        <w:rPr>
          <w:b/>
          <w:bCs/>
          <w:sz w:val="22"/>
          <w:szCs w:val="22"/>
        </w:rPr>
      </w:pPr>
      <w:r w:rsidRPr="00A65C03">
        <w:rPr>
          <w:b/>
          <w:bCs/>
          <w:sz w:val="22"/>
          <w:szCs w:val="22"/>
        </w:rPr>
        <w:t>Принятое решение:</w:t>
      </w:r>
    </w:p>
    <w:p w:rsidR="00A41FD9" w:rsidRPr="00A65C03" w:rsidRDefault="00A41FD9" w:rsidP="00153DE3">
      <w:pPr>
        <w:tabs>
          <w:tab w:val="left" w:pos="9000"/>
        </w:tabs>
        <w:jc w:val="center"/>
        <w:rPr>
          <w:b/>
          <w:bCs/>
          <w:sz w:val="22"/>
          <w:szCs w:val="22"/>
        </w:rPr>
      </w:pPr>
    </w:p>
    <w:p w:rsidR="008E59E2" w:rsidRPr="008E59E2" w:rsidRDefault="008E59E2" w:rsidP="008E59E2">
      <w:pPr>
        <w:ind w:firstLine="708"/>
        <w:jc w:val="both"/>
        <w:rPr>
          <w:sz w:val="22"/>
          <w:szCs w:val="22"/>
        </w:rPr>
      </w:pPr>
      <w:r w:rsidRPr="008E59E2">
        <w:rPr>
          <w:sz w:val="22"/>
          <w:szCs w:val="22"/>
        </w:rPr>
        <w:t>Предоставить согласие на совершение Обществом сделки, в совершении которой имеется заинтересованность – заключение</w:t>
      </w:r>
      <w:r w:rsidRPr="008E59E2">
        <w:rPr>
          <w:iCs/>
          <w:sz w:val="22"/>
          <w:szCs w:val="22"/>
        </w:rPr>
        <w:t xml:space="preserve"> между Обществом и АО</w:t>
      </w:r>
      <w:r w:rsidRPr="008E59E2">
        <w:rPr>
          <w:sz w:val="22"/>
          <w:szCs w:val="22"/>
        </w:rPr>
        <w:t xml:space="preserve"> «Райффайзенбанк»</w:t>
      </w:r>
      <w:r w:rsidRPr="008E59E2">
        <w:rPr>
          <w:iCs/>
          <w:sz w:val="22"/>
          <w:szCs w:val="22"/>
        </w:rPr>
        <w:t xml:space="preserve"> договора поручительства</w:t>
      </w:r>
      <w:r w:rsidRPr="008E59E2">
        <w:rPr>
          <w:sz w:val="22"/>
          <w:szCs w:val="22"/>
          <w:lang w:val="x-none" w:eastAsia="x-none"/>
        </w:rPr>
        <w:t xml:space="preserve"> с целью обеспечения обязательств</w:t>
      </w:r>
      <w:r w:rsidRPr="008E59E2">
        <w:rPr>
          <w:iCs/>
          <w:sz w:val="22"/>
          <w:szCs w:val="22"/>
        </w:rPr>
        <w:t xml:space="preserve"> принципала АО «ГМС Нефтемаш» по Соглашению</w:t>
      </w:r>
      <w:r w:rsidRPr="008E59E2">
        <w:rPr>
          <w:sz w:val="22"/>
          <w:szCs w:val="22"/>
        </w:rPr>
        <w:t xml:space="preserve"> о выпуске банковских гарантий между </w:t>
      </w:r>
      <w:r w:rsidRPr="008E59E2">
        <w:rPr>
          <w:iCs/>
          <w:sz w:val="22"/>
          <w:szCs w:val="22"/>
        </w:rPr>
        <w:t>АО «ГМС Нефтемаш» и АО</w:t>
      </w:r>
      <w:r w:rsidRPr="008E59E2">
        <w:rPr>
          <w:sz w:val="22"/>
          <w:szCs w:val="22"/>
        </w:rPr>
        <w:t xml:space="preserve"> «Райффайзенбанк» (далее Соглашение) на следующих существенных условиях:</w:t>
      </w:r>
    </w:p>
    <w:p w:rsidR="008E59E2" w:rsidRPr="008E59E2" w:rsidRDefault="008E59E2" w:rsidP="008E59E2">
      <w:pPr>
        <w:jc w:val="both"/>
        <w:rPr>
          <w:sz w:val="22"/>
          <w:szCs w:val="22"/>
        </w:rPr>
      </w:pPr>
    </w:p>
    <w:p w:rsidR="008E59E2" w:rsidRPr="008E59E2" w:rsidRDefault="008E59E2" w:rsidP="008E59E2">
      <w:pPr>
        <w:jc w:val="both"/>
        <w:rPr>
          <w:sz w:val="22"/>
          <w:szCs w:val="22"/>
          <w:u w:val="single"/>
        </w:rPr>
      </w:pPr>
      <w:r w:rsidRPr="008E59E2">
        <w:rPr>
          <w:sz w:val="22"/>
          <w:szCs w:val="22"/>
          <w:u w:val="single"/>
        </w:rPr>
        <w:t>Стороны сделки:</w:t>
      </w:r>
    </w:p>
    <w:p w:rsidR="008E59E2" w:rsidRPr="008E59E2" w:rsidRDefault="008E59E2" w:rsidP="008E59E2">
      <w:pPr>
        <w:jc w:val="both"/>
        <w:rPr>
          <w:sz w:val="22"/>
          <w:szCs w:val="22"/>
        </w:rPr>
      </w:pPr>
      <w:r w:rsidRPr="008E59E2">
        <w:rPr>
          <w:sz w:val="22"/>
          <w:szCs w:val="22"/>
        </w:rPr>
        <w:t>Поручитель: АО «Сибнефтемаш»</w:t>
      </w:r>
    </w:p>
    <w:p w:rsidR="008E59E2" w:rsidRPr="008E59E2" w:rsidRDefault="008E59E2" w:rsidP="008E59E2">
      <w:pPr>
        <w:jc w:val="both"/>
        <w:rPr>
          <w:sz w:val="22"/>
          <w:szCs w:val="22"/>
        </w:rPr>
      </w:pPr>
      <w:r w:rsidRPr="008E59E2">
        <w:rPr>
          <w:sz w:val="22"/>
          <w:szCs w:val="22"/>
        </w:rPr>
        <w:t>Банк/Гарант: АО «Райффайзенбанк»;</w:t>
      </w:r>
    </w:p>
    <w:p w:rsidR="008E59E2" w:rsidRPr="008E59E2" w:rsidRDefault="008E59E2" w:rsidP="008E59E2">
      <w:pPr>
        <w:jc w:val="both"/>
        <w:rPr>
          <w:sz w:val="22"/>
          <w:szCs w:val="22"/>
        </w:rPr>
      </w:pPr>
      <w:r w:rsidRPr="008E59E2">
        <w:rPr>
          <w:sz w:val="22"/>
          <w:szCs w:val="22"/>
        </w:rPr>
        <w:t xml:space="preserve">Принципал / выгодоприобретатель: </w:t>
      </w:r>
      <w:r w:rsidRPr="008E59E2">
        <w:rPr>
          <w:iCs/>
          <w:sz w:val="22"/>
          <w:szCs w:val="22"/>
        </w:rPr>
        <w:t>АО «ГМС Нефтемаш»</w:t>
      </w:r>
      <w:r w:rsidRPr="008E59E2">
        <w:rPr>
          <w:sz w:val="22"/>
          <w:szCs w:val="22"/>
        </w:rPr>
        <w:t>.</w:t>
      </w:r>
    </w:p>
    <w:p w:rsidR="008E59E2" w:rsidRPr="008E59E2" w:rsidRDefault="008E59E2" w:rsidP="008E59E2">
      <w:pPr>
        <w:jc w:val="both"/>
        <w:rPr>
          <w:sz w:val="22"/>
          <w:szCs w:val="22"/>
        </w:rPr>
      </w:pPr>
    </w:p>
    <w:p w:rsidR="008E59E2" w:rsidRPr="008E59E2" w:rsidRDefault="008E59E2" w:rsidP="008E59E2">
      <w:pPr>
        <w:jc w:val="both"/>
        <w:rPr>
          <w:sz w:val="22"/>
          <w:szCs w:val="22"/>
          <w:u w:val="single"/>
        </w:rPr>
      </w:pPr>
      <w:r w:rsidRPr="008E59E2">
        <w:rPr>
          <w:sz w:val="22"/>
          <w:szCs w:val="22"/>
          <w:u w:val="single"/>
        </w:rPr>
        <w:t>Существенные условия Договора поручительства № 7713/</w:t>
      </w:r>
      <w:r w:rsidRPr="008E59E2">
        <w:rPr>
          <w:sz w:val="22"/>
          <w:szCs w:val="22"/>
          <w:u w:val="single"/>
          <w:lang w:val="en-US"/>
        </w:rPr>
        <w:t>S</w:t>
      </w:r>
      <w:r w:rsidRPr="008E59E2">
        <w:rPr>
          <w:sz w:val="22"/>
          <w:szCs w:val="22"/>
          <w:u w:val="single"/>
        </w:rPr>
        <w:t>3:</w:t>
      </w:r>
    </w:p>
    <w:p w:rsidR="008E59E2" w:rsidRPr="008E59E2" w:rsidRDefault="008E59E2" w:rsidP="008E59E2">
      <w:pPr>
        <w:spacing w:before="100" w:beforeAutospacing="1" w:afterAutospacing="1"/>
        <w:jc w:val="both"/>
        <w:rPr>
          <w:sz w:val="22"/>
          <w:szCs w:val="22"/>
          <w:u w:val="single"/>
          <w:lang w:val="x-none" w:eastAsia="x-none"/>
        </w:rPr>
      </w:pPr>
      <w:r w:rsidRPr="008E59E2">
        <w:rPr>
          <w:spacing w:val="-3"/>
          <w:sz w:val="22"/>
          <w:szCs w:val="22"/>
          <w:lang w:val="x-none" w:eastAsia="x-none"/>
        </w:rPr>
        <w:t>Поручитель несет солидарную с Принципалом ответственность перед Банком за своевременное и надлежащее исполнение всех обязательств Принципала (включая всех правопреемников Принципала) по Соглашению</w:t>
      </w:r>
      <w:r w:rsidRPr="008E59E2">
        <w:rPr>
          <w:iCs/>
          <w:sz w:val="22"/>
          <w:szCs w:val="22"/>
          <w:lang w:val="x-none" w:eastAsia="x-none"/>
        </w:rPr>
        <w:t xml:space="preserve"> </w:t>
      </w:r>
      <w:r w:rsidRPr="008E59E2">
        <w:rPr>
          <w:sz w:val="22"/>
          <w:szCs w:val="22"/>
          <w:lang w:val="x-none" w:eastAsia="x-none"/>
        </w:rPr>
        <w:t>о выпуске банковских гарантий</w:t>
      </w:r>
      <w:r w:rsidRPr="008E59E2">
        <w:rPr>
          <w:sz w:val="22"/>
          <w:szCs w:val="22"/>
          <w:lang w:eastAsia="x-none"/>
        </w:rPr>
        <w:t xml:space="preserve"> № 7713-</w:t>
      </w:r>
      <w:r w:rsidRPr="008E59E2">
        <w:rPr>
          <w:sz w:val="22"/>
          <w:szCs w:val="22"/>
          <w:lang w:val="en-US" w:eastAsia="x-none"/>
        </w:rPr>
        <w:t>MSK</w:t>
      </w:r>
      <w:r w:rsidRPr="008E59E2">
        <w:rPr>
          <w:sz w:val="22"/>
          <w:szCs w:val="22"/>
          <w:lang w:eastAsia="x-none"/>
        </w:rPr>
        <w:t xml:space="preserve"> (далее – Соглашение)</w:t>
      </w:r>
      <w:r w:rsidRPr="008E59E2">
        <w:rPr>
          <w:spacing w:val="-3"/>
          <w:sz w:val="22"/>
          <w:szCs w:val="22"/>
          <w:lang w:val="x-none" w:eastAsia="x-none"/>
        </w:rPr>
        <w:t xml:space="preserve">, в частности, обязательств по возмещению Банку всех сумм, уплаченных Банком бенефициару (-ам) по </w:t>
      </w:r>
      <w:r w:rsidRPr="008E59E2">
        <w:rPr>
          <w:spacing w:val="-3"/>
          <w:sz w:val="22"/>
          <w:szCs w:val="22"/>
          <w:lang w:eastAsia="x-none"/>
        </w:rPr>
        <w:t>Гарант</w:t>
      </w:r>
      <w:r w:rsidRPr="008E59E2">
        <w:rPr>
          <w:spacing w:val="-3"/>
          <w:sz w:val="22"/>
          <w:szCs w:val="22"/>
          <w:lang w:val="x-none" w:eastAsia="x-none"/>
        </w:rPr>
        <w:t xml:space="preserve">иям (-ии), по уплате комиссий за выпуск </w:t>
      </w:r>
      <w:r w:rsidRPr="008E59E2">
        <w:rPr>
          <w:spacing w:val="-3"/>
          <w:sz w:val="22"/>
          <w:szCs w:val="22"/>
          <w:lang w:eastAsia="x-none"/>
        </w:rPr>
        <w:t>Гарант</w:t>
      </w:r>
      <w:r w:rsidRPr="008E59E2">
        <w:rPr>
          <w:spacing w:val="-3"/>
          <w:sz w:val="22"/>
          <w:szCs w:val="22"/>
          <w:lang w:val="x-none" w:eastAsia="x-none"/>
        </w:rPr>
        <w:t xml:space="preserve">ий (-ии), по уплате иных комиссионных вознаграждений, по уплате неустоек, возмещению расходов и других убытков Банка, а также всех прочих сумм, причитающихся Банку по Соглашению, </w:t>
      </w:r>
      <w:r w:rsidRPr="008E59E2">
        <w:rPr>
          <w:sz w:val="22"/>
          <w:szCs w:val="22"/>
          <w:lang w:val="x-none" w:eastAsia="ar-SA"/>
        </w:rPr>
        <w:t>в установленный срок, по требованию и в иных случаях, когда эти суммы подлежат уплате.</w:t>
      </w:r>
      <w:r w:rsidRPr="008E59E2">
        <w:rPr>
          <w:spacing w:val="-3"/>
          <w:sz w:val="22"/>
          <w:szCs w:val="22"/>
          <w:lang w:val="x-none" w:eastAsia="x-none"/>
        </w:rPr>
        <w:t xml:space="preserve"> Поручитель также отвечает за возмещение Банку сумм неосновательного обогащения, полученного Принципалом вследствие признания Соглашения незаключенным, и возврат сумм, вследствие применения последствий недействительности Соглашения.</w:t>
      </w:r>
    </w:p>
    <w:p w:rsidR="008E59E2" w:rsidRPr="008E59E2" w:rsidRDefault="008E59E2" w:rsidP="008E59E2">
      <w:pPr>
        <w:tabs>
          <w:tab w:val="left" w:pos="482"/>
        </w:tabs>
        <w:spacing w:after="120"/>
        <w:contextualSpacing/>
        <w:jc w:val="both"/>
        <w:rPr>
          <w:spacing w:val="-3"/>
          <w:sz w:val="22"/>
          <w:szCs w:val="22"/>
        </w:rPr>
      </w:pPr>
      <w:r w:rsidRPr="008E59E2">
        <w:rPr>
          <w:spacing w:val="-3"/>
          <w:sz w:val="22"/>
          <w:szCs w:val="22"/>
        </w:rPr>
        <w:t>Поручитель обязуется по первому требованию Банка в течение 5 (Пяти) рабочих дней выплатить сумму любой задолженности по Договору Поручительства.</w:t>
      </w:r>
    </w:p>
    <w:p w:rsidR="008E59E2" w:rsidRPr="008E59E2" w:rsidRDefault="008E59E2" w:rsidP="008E59E2">
      <w:pPr>
        <w:tabs>
          <w:tab w:val="left" w:pos="482"/>
        </w:tabs>
        <w:spacing w:after="120"/>
        <w:contextualSpacing/>
        <w:jc w:val="both"/>
        <w:rPr>
          <w:sz w:val="22"/>
          <w:szCs w:val="22"/>
        </w:rPr>
      </w:pPr>
      <w:r w:rsidRPr="008E59E2">
        <w:rPr>
          <w:spacing w:val="-3"/>
          <w:sz w:val="22"/>
          <w:szCs w:val="22"/>
        </w:rPr>
        <w:t xml:space="preserve">Поручитель предоставляет Банку согласие (акцепт) на списание с любых счетов Поручителя, которые открыты или могут быть открыты Поручителем в Банке, любых сумм, подлежащих уплате Поручителем Банку по Договору Поручительства, на основании расчетного документа, выставляемого Банком. </w:t>
      </w:r>
      <w:r w:rsidRPr="008E59E2">
        <w:rPr>
          <w:sz w:val="22"/>
          <w:szCs w:val="22"/>
        </w:rPr>
        <w:t xml:space="preserve">Банк должен уведомлять Поручителя о любых таких списаниях. </w:t>
      </w:r>
    </w:p>
    <w:p w:rsidR="008E59E2" w:rsidRPr="008E59E2" w:rsidRDefault="008E59E2" w:rsidP="008E59E2">
      <w:pPr>
        <w:tabs>
          <w:tab w:val="left" w:pos="482"/>
        </w:tabs>
        <w:spacing w:after="120"/>
        <w:contextualSpacing/>
        <w:jc w:val="both"/>
        <w:rPr>
          <w:spacing w:val="-3"/>
          <w:sz w:val="22"/>
          <w:szCs w:val="22"/>
        </w:rPr>
      </w:pPr>
      <w:r w:rsidRPr="008E59E2">
        <w:rPr>
          <w:spacing w:val="-3"/>
          <w:sz w:val="22"/>
          <w:szCs w:val="22"/>
        </w:rPr>
        <w:t>Поручитель, своевременно не исполнивший свои обязательства по настоящему Договору Поручительства, несет ответственность в виде неустойки в размере 0.05 % (Ноль целых и пять сотых процента) от просроченных сумм за каждый календарный день просрочки платежа по Договору Поручительства.</w:t>
      </w:r>
    </w:p>
    <w:p w:rsidR="008E59E2" w:rsidRPr="008E59E2" w:rsidRDefault="008E59E2" w:rsidP="008E59E2">
      <w:pPr>
        <w:jc w:val="both"/>
        <w:rPr>
          <w:sz w:val="22"/>
          <w:szCs w:val="22"/>
          <w:lang w:eastAsia="x-none"/>
        </w:rPr>
      </w:pPr>
    </w:p>
    <w:p w:rsidR="008E59E2" w:rsidRPr="008E59E2" w:rsidRDefault="008E59E2" w:rsidP="008E59E2">
      <w:pPr>
        <w:jc w:val="both"/>
        <w:rPr>
          <w:sz w:val="22"/>
          <w:szCs w:val="22"/>
        </w:rPr>
      </w:pPr>
      <w:r w:rsidRPr="008E59E2">
        <w:rPr>
          <w:sz w:val="22"/>
          <w:szCs w:val="22"/>
          <w:lang w:eastAsia="x-none"/>
        </w:rPr>
        <w:t xml:space="preserve">Условия Соглашения </w:t>
      </w:r>
      <w:r w:rsidRPr="008E59E2">
        <w:rPr>
          <w:sz w:val="22"/>
          <w:szCs w:val="22"/>
        </w:rPr>
        <w:t>о выпуске банковских гарантий № 7713-</w:t>
      </w:r>
      <w:r w:rsidRPr="008E59E2">
        <w:rPr>
          <w:sz w:val="22"/>
          <w:szCs w:val="22"/>
          <w:lang w:val="en-US"/>
        </w:rPr>
        <w:t>MSK</w:t>
      </w:r>
      <w:r w:rsidRPr="008E59E2">
        <w:rPr>
          <w:sz w:val="22"/>
          <w:szCs w:val="22"/>
        </w:rPr>
        <w:t>:</w:t>
      </w:r>
    </w:p>
    <w:p w:rsidR="008E59E2" w:rsidRPr="008E59E2" w:rsidRDefault="008E59E2" w:rsidP="008E59E2">
      <w:pPr>
        <w:jc w:val="both"/>
        <w:rPr>
          <w:sz w:val="22"/>
          <w:szCs w:val="22"/>
        </w:rPr>
      </w:pPr>
    </w:p>
    <w:p w:rsidR="008E59E2" w:rsidRPr="008E59E2" w:rsidRDefault="008E59E2" w:rsidP="008E59E2">
      <w:pPr>
        <w:jc w:val="both"/>
        <w:rPr>
          <w:sz w:val="22"/>
          <w:szCs w:val="22"/>
        </w:rPr>
      </w:pPr>
      <w:r w:rsidRPr="008E59E2">
        <w:rPr>
          <w:sz w:val="22"/>
          <w:szCs w:val="22"/>
          <w:lang w:val="x-none" w:eastAsia="x-none"/>
        </w:rPr>
        <w:t>Сумма</w:t>
      </w:r>
      <w:r w:rsidRPr="008E59E2">
        <w:rPr>
          <w:sz w:val="22"/>
          <w:szCs w:val="22"/>
          <w:lang w:eastAsia="x-none"/>
        </w:rPr>
        <w:t xml:space="preserve"> Гарантий/контргарантий</w:t>
      </w:r>
      <w:r w:rsidRPr="008E59E2">
        <w:rPr>
          <w:sz w:val="22"/>
          <w:szCs w:val="22"/>
          <w:lang w:val="x-none" w:eastAsia="x-none"/>
        </w:rPr>
        <w:t xml:space="preserve"> </w:t>
      </w:r>
      <w:r w:rsidRPr="008E59E2">
        <w:rPr>
          <w:sz w:val="22"/>
          <w:szCs w:val="22"/>
        </w:rPr>
        <w:t xml:space="preserve">составляет до </w:t>
      </w:r>
      <w:r w:rsidRPr="008E59E2">
        <w:rPr>
          <w:b/>
          <w:sz w:val="22"/>
          <w:szCs w:val="22"/>
        </w:rPr>
        <w:t>300 000 000 (Трехсот миллионов) российских рублей</w:t>
      </w:r>
      <w:r w:rsidRPr="008E59E2">
        <w:rPr>
          <w:sz w:val="22"/>
          <w:szCs w:val="22"/>
        </w:rPr>
        <w:t xml:space="preserve"> включительно или эквивалента данной суммы в долларах США/Евро, рассчитанного по курсу Банка России для конвертации долларов США/Евро в российские рубли на дату выдачи соответствующей гарантии, что составляет 6,9407 % от балансовой стоимости активов Поручителя по состоянию на 30.09.2019 г. </w:t>
      </w:r>
    </w:p>
    <w:p w:rsidR="008E59E2" w:rsidRPr="008E59E2" w:rsidRDefault="008E59E2" w:rsidP="008E59E2">
      <w:pPr>
        <w:jc w:val="both"/>
        <w:rPr>
          <w:sz w:val="22"/>
          <w:szCs w:val="22"/>
        </w:rPr>
      </w:pPr>
    </w:p>
    <w:p w:rsidR="008E59E2" w:rsidRPr="008E59E2" w:rsidRDefault="008E59E2" w:rsidP="008E59E2">
      <w:pPr>
        <w:jc w:val="both"/>
        <w:rPr>
          <w:b/>
          <w:sz w:val="22"/>
          <w:szCs w:val="22"/>
        </w:rPr>
      </w:pPr>
      <w:r w:rsidRPr="008E59E2">
        <w:rPr>
          <w:sz w:val="22"/>
          <w:szCs w:val="22"/>
        </w:rPr>
        <w:t>Срок окончания действия гарантий - не позднее «</w:t>
      </w:r>
      <w:r w:rsidRPr="008E59E2">
        <w:rPr>
          <w:b/>
          <w:sz w:val="22"/>
          <w:szCs w:val="22"/>
        </w:rPr>
        <w:t>16» декабря 2022 г.</w:t>
      </w:r>
    </w:p>
    <w:p w:rsidR="008E59E2" w:rsidRPr="008E59E2" w:rsidRDefault="008E59E2" w:rsidP="008E59E2">
      <w:pPr>
        <w:jc w:val="both"/>
        <w:rPr>
          <w:sz w:val="22"/>
          <w:szCs w:val="22"/>
        </w:rPr>
      </w:pPr>
      <w:r w:rsidRPr="008E59E2">
        <w:rPr>
          <w:sz w:val="22"/>
          <w:szCs w:val="22"/>
        </w:rPr>
        <w:t>Сумма гарантии может быть выражена в российских рублях или в долларах США или Евро. гарантии, платежи по которым осуществляются в иностранной валюте, выдаются при условии, если законодательство Российской Федерации о валютном регулировании и валютном контроле допускает возможность их выдачи.</w:t>
      </w:r>
    </w:p>
    <w:p w:rsidR="008E59E2" w:rsidRPr="008E59E2" w:rsidRDefault="008E59E2" w:rsidP="008E59E2">
      <w:pPr>
        <w:jc w:val="both"/>
        <w:rPr>
          <w:sz w:val="22"/>
          <w:szCs w:val="22"/>
        </w:rPr>
      </w:pPr>
    </w:p>
    <w:p w:rsidR="008E59E2" w:rsidRPr="008E59E2" w:rsidRDefault="008E59E2" w:rsidP="008E59E2">
      <w:pPr>
        <w:jc w:val="both"/>
        <w:rPr>
          <w:sz w:val="22"/>
          <w:szCs w:val="22"/>
        </w:rPr>
      </w:pPr>
      <w:r w:rsidRPr="008E59E2">
        <w:rPr>
          <w:sz w:val="22"/>
          <w:szCs w:val="22"/>
        </w:rPr>
        <w:t>Банк вправе отказать Принципалу в выдаче/ изменении Гарантии.</w:t>
      </w:r>
    </w:p>
    <w:p w:rsidR="008E59E2" w:rsidRPr="008E59E2" w:rsidRDefault="008E59E2" w:rsidP="008E59E2">
      <w:pPr>
        <w:tabs>
          <w:tab w:val="left" w:pos="366"/>
        </w:tabs>
        <w:jc w:val="both"/>
        <w:rPr>
          <w:sz w:val="22"/>
          <w:szCs w:val="22"/>
        </w:rPr>
      </w:pPr>
    </w:p>
    <w:p w:rsidR="008E59E2" w:rsidRPr="008E59E2" w:rsidRDefault="008E59E2" w:rsidP="008E59E2">
      <w:pPr>
        <w:jc w:val="both"/>
        <w:rPr>
          <w:sz w:val="22"/>
          <w:szCs w:val="22"/>
          <w:lang w:eastAsia="en-US"/>
        </w:rPr>
      </w:pPr>
      <w:r w:rsidRPr="008E59E2">
        <w:rPr>
          <w:sz w:val="22"/>
          <w:szCs w:val="22"/>
        </w:rPr>
        <w:t xml:space="preserve">В случае уплаты Банком бенефициару сумм по гарантии, Принципал обязуется возместить Банку все уплаченные Банком бенефициару суммы по гарантии в дату платежа Банком бенефициару сумм по гарантии, возмещение Принципалом сумм по гарантии осуществляется путем списания Банком денежных средств со счета Принципала в соответствии с п. 4.7. Соглашения. </w:t>
      </w:r>
    </w:p>
    <w:p w:rsidR="008E59E2" w:rsidRPr="008E59E2" w:rsidRDefault="008E59E2" w:rsidP="008E59E2">
      <w:pPr>
        <w:jc w:val="both"/>
        <w:rPr>
          <w:sz w:val="22"/>
          <w:szCs w:val="22"/>
        </w:rPr>
      </w:pPr>
    </w:p>
    <w:p w:rsidR="008E59E2" w:rsidRPr="008E59E2" w:rsidRDefault="008E59E2" w:rsidP="008E59E2">
      <w:pPr>
        <w:jc w:val="both"/>
        <w:rPr>
          <w:sz w:val="22"/>
          <w:szCs w:val="22"/>
        </w:rPr>
      </w:pPr>
      <w:r w:rsidRPr="008E59E2">
        <w:rPr>
          <w:sz w:val="22"/>
          <w:szCs w:val="22"/>
        </w:rPr>
        <w:t xml:space="preserve">В случае, если Принципал своевременно не выплачивает Банку какие-либо суммы, причитающиеся Банку по Соглашению, в том числе, но не ограничиваясь: комиссии за выпуск гарантии, а также суммы, причитающиеся Банку по Соглашению в соответствии с пунктом 4.5. Соглашения, Принципал обязан выплатить Банку пеню в размере 0,1 % (Ноль целых и одна десятая процента) от просроченной суммы за каждый календарный день просрочки.  </w:t>
      </w:r>
    </w:p>
    <w:p w:rsidR="008E59E2" w:rsidRPr="008E59E2" w:rsidRDefault="008E59E2" w:rsidP="008E59E2">
      <w:pPr>
        <w:jc w:val="both"/>
        <w:rPr>
          <w:sz w:val="22"/>
          <w:szCs w:val="22"/>
        </w:rPr>
      </w:pPr>
    </w:p>
    <w:p w:rsidR="008E59E2" w:rsidRPr="008E59E2" w:rsidRDefault="008E59E2" w:rsidP="008E59E2">
      <w:pPr>
        <w:jc w:val="both"/>
        <w:rPr>
          <w:sz w:val="22"/>
          <w:szCs w:val="22"/>
        </w:rPr>
      </w:pPr>
      <w:r w:rsidRPr="008E59E2">
        <w:rPr>
          <w:sz w:val="22"/>
          <w:szCs w:val="22"/>
        </w:rPr>
        <w:t>Принципал обязуется возместить Банку все документально подтвержденные расходы, понесенные Банком в связи с выдачей контргарантий в течение 1 (Одного) Рабочего дня с даты получения от Банка письменного уведомления с указанием размера уплаченных Банком Бенефициару сумм</w:t>
      </w:r>
      <w:r w:rsidRPr="008E59E2" w:rsidDel="00155D91">
        <w:rPr>
          <w:sz w:val="22"/>
          <w:szCs w:val="22"/>
        </w:rPr>
        <w:t xml:space="preserve"> </w:t>
      </w:r>
    </w:p>
    <w:p w:rsidR="008E59E2" w:rsidRPr="008E59E2" w:rsidRDefault="008E59E2" w:rsidP="008E59E2">
      <w:pPr>
        <w:spacing w:before="100" w:beforeAutospacing="1" w:afterAutospacing="1"/>
        <w:jc w:val="both"/>
        <w:rPr>
          <w:sz w:val="22"/>
          <w:szCs w:val="22"/>
          <w:lang w:val="x-none" w:eastAsia="x-none"/>
        </w:rPr>
      </w:pPr>
      <w:r w:rsidRPr="008E59E2">
        <w:rPr>
          <w:sz w:val="22"/>
          <w:szCs w:val="22"/>
          <w:lang w:val="x-none" w:eastAsia="x-none"/>
        </w:rPr>
        <w:t>Принципал уплачивает Гаранту комиссию за выпуск каждой Гарантии, размер которой подлежит предварительному согласованию Сторонами по электронной почте. При этом максимальный размер комиссии за выпуск Гарантии не может превышать 1,5 % (Одной целой и пяти десятых процента) годовых от суммы соответствующей Гарантии, исходя из фактического количества дней, с Даты выдачи/продления Гарантии до последней даты Срока истечения Гарантии включительно, но не менее 25 000 (Двадцати пяти тысяч) российских рублей.</w:t>
      </w:r>
    </w:p>
    <w:p w:rsidR="008E59E2" w:rsidRPr="008E59E2" w:rsidRDefault="008E59E2" w:rsidP="008E59E2">
      <w:pPr>
        <w:jc w:val="both"/>
        <w:rPr>
          <w:sz w:val="22"/>
          <w:szCs w:val="22"/>
        </w:rPr>
      </w:pPr>
      <w:r w:rsidRPr="008E59E2">
        <w:rPr>
          <w:sz w:val="22"/>
          <w:szCs w:val="22"/>
        </w:rPr>
        <w:t>«</w:t>
      </w:r>
      <w:r w:rsidRPr="008E59E2">
        <w:rPr>
          <w:b/>
          <w:sz w:val="22"/>
          <w:szCs w:val="22"/>
        </w:rPr>
        <w:t>Период Начисления Комиссии</w:t>
      </w:r>
      <w:r w:rsidRPr="008E59E2">
        <w:rPr>
          <w:sz w:val="22"/>
          <w:szCs w:val="22"/>
        </w:rPr>
        <w:t xml:space="preserve">» означает период в 3 (Три) Месяца, за исключением первого Периода Начисления Комиссии.            </w:t>
      </w:r>
    </w:p>
    <w:p w:rsidR="008E59E2" w:rsidRPr="008E59E2" w:rsidRDefault="008E59E2" w:rsidP="008E59E2">
      <w:pPr>
        <w:jc w:val="both"/>
        <w:rPr>
          <w:sz w:val="22"/>
          <w:szCs w:val="22"/>
        </w:rPr>
      </w:pPr>
      <w:r w:rsidRPr="008E59E2">
        <w:rPr>
          <w:sz w:val="22"/>
          <w:szCs w:val="22"/>
        </w:rPr>
        <w:t>Первый Период Начисления Комиссии начинается в Дату выдачи каждой Гарантии и заканчивается «28» числа календарного месяца, следующего за календарным месяцем, в котором была выдана Гарантия.</w:t>
      </w:r>
    </w:p>
    <w:p w:rsidR="008E59E2" w:rsidRPr="008E59E2" w:rsidRDefault="008E59E2" w:rsidP="008E59E2">
      <w:pPr>
        <w:jc w:val="both"/>
        <w:rPr>
          <w:sz w:val="22"/>
          <w:szCs w:val="22"/>
        </w:rPr>
      </w:pPr>
      <w:r w:rsidRPr="008E59E2">
        <w:rPr>
          <w:sz w:val="22"/>
          <w:szCs w:val="22"/>
        </w:rPr>
        <w:t xml:space="preserve">Последняя дата каждого Периода Начисления Комиссии является датой уплаты комиссии.   </w:t>
      </w:r>
    </w:p>
    <w:p w:rsidR="008E59E2" w:rsidRPr="008E59E2" w:rsidRDefault="008E59E2" w:rsidP="008E59E2">
      <w:pPr>
        <w:tabs>
          <w:tab w:val="left" w:pos="34"/>
        </w:tabs>
        <w:autoSpaceDE w:val="0"/>
        <w:autoSpaceDN w:val="0"/>
        <w:adjustRightInd w:val="0"/>
        <w:ind w:left="34"/>
        <w:jc w:val="both"/>
        <w:rPr>
          <w:sz w:val="22"/>
          <w:szCs w:val="22"/>
        </w:rPr>
      </w:pPr>
      <w:r w:rsidRPr="008E59E2">
        <w:rPr>
          <w:sz w:val="22"/>
          <w:szCs w:val="22"/>
        </w:rPr>
        <w:t xml:space="preserve"> Минимальная сумма комиссионного вознаграждения за выпуск Гарантии составляет 25 000 (Двадцать пять тысяч) российских рублей и подлежит уплате в Дату выдачи Гарантии/в дату внесения изменений в Гарантию.</w:t>
      </w:r>
    </w:p>
    <w:p w:rsidR="008E59E2" w:rsidRPr="008E59E2" w:rsidRDefault="008E59E2" w:rsidP="008E59E2">
      <w:pPr>
        <w:jc w:val="both"/>
        <w:rPr>
          <w:sz w:val="22"/>
          <w:szCs w:val="22"/>
        </w:rPr>
      </w:pPr>
      <w:r w:rsidRPr="008E59E2">
        <w:rPr>
          <w:sz w:val="22"/>
          <w:szCs w:val="22"/>
        </w:rPr>
        <w:t>При досрочном прекращении Гарантии, сумма комиссионного вознаграждения, уплаченная Принципалом за выпуск Гарантии, возврату не подлежит.</w:t>
      </w:r>
      <w:r w:rsidRPr="008E59E2">
        <w:rPr>
          <w:i/>
          <w:sz w:val="22"/>
          <w:szCs w:val="22"/>
        </w:rPr>
        <w:t xml:space="preserve">  </w:t>
      </w:r>
      <w:r w:rsidRPr="008E59E2">
        <w:rPr>
          <w:sz w:val="22"/>
          <w:szCs w:val="22"/>
        </w:rPr>
        <w:t xml:space="preserve"> </w:t>
      </w:r>
    </w:p>
    <w:p w:rsidR="008E59E2" w:rsidRPr="008E59E2" w:rsidRDefault="008E59E2" w:rsidP="008E59E2">
      <w:pPr>
        <w:spacing w:before="100" w:beforeAutospacing="1" w:afterAutospacing="1"/>
        <w:jc w:val="both"/>
        <w:rPr>
          <w:sz w:val="22"/>
          <w:szCs w:val="22"/>
          <w:lang w:eastAsia="x-none"/>
        </w:rPr>
      </w:pPr>
      <w:r w:rsidRPr="008E59E2">
        <w:rPr>
          <w:color w:val="000000"/>
          <w:sz w:val="22"/>
          <w:szCs w:val="22"/>
        </w:rPr>
        <w:t>За совершение операций (оказание услуг), для которых Соглашением не определен размер комиссии, комиссионное вознаграждение взимается Банком в размере и в порядке, установленном действующими на дату уплаты такой комиссии индивидуальными тарифами АО «Райффайзенбанк» на проведение документарных операций для клиентов-юридических лиц и индивидуальных предпринимателей</w:t>
      </w:r>
    </w:p>
    <w:p w:rsidR="008E59E2" w:rsidRPr="008E59E2" w:rsidRDefault="008E59E2" w:rsidP="008E59E2">
      <w:pPr>
        <w:spacing w:before="100" w:beforeAutospacing="1" w:afterAutospacing="1"/>
        <w:jc w:val="both"/>
        <w:rPr>
          <w:color w:val="000000"/>
          <w:sz w:val="22"/>
          <w:szCs w:val="22"/>
          <w:lang w:val="x-none"/>
        </w:rPr>
      </w:pPr>
      <w:r w:rsidRPr="008E59E2">
        <w:rPr>
          <w:sz w:val="22"/>
          <w:szCs w:val="22"/>
          <w:lang w:val="x-none"/>
        </w:rPr>
        <w:lastRenderedPageBreak/>
        <w:t>В случае неисполнения или несвоевременного (ненадлежащего) исполнения Принципалом любого из своих обязательств, предусмотренных Соглашением</w:t>
      </w:r>
      <w:r w:rsidRPr="008E59E2">
        <w:rPr>
          <w:sz w:val="22"/>
          <w:szCs w:val="22"/>
        </w:rPr>
        <w:t xml:space="preserve"> (о</w:t>
      </w:r>
      <w:r w:rsidRPr="008E59E2">
        <w:rPr>
          <w:sz w:val="22"/>
          <w:szCs w:val="22"/>
          <w:bdr w:val="none" w:sz="0" w:space="0" w:color="auto" w:frame="1"/>
          <w:lang w:eastAsia="x-none"/>
        </w:rPr>
        <w:t>беспечить поддержание определенных значений коэффициентов, рассчитанных на основании представленной Принципалом консолидированной квартальной и/или годовой отчетности компаний Группы и другие обязательства)</w:t>
      </w:r>
      <w:r w:rsidRPr="008E59E2">
        <w:rPr>
          <w:i/>
          <w:iCs/>
          <w:sz w:val="22"/>
          <w:szCs w:val="22"/>
          <w:lang w:val="x-none"/>
        </w:rPr>
        <w:t xml:space="preserve">, </w:t>
      </w:r>
      <w:r w:rsidRPr="008E59E2">
        <w:rPr>
          <w:sz w:val="22"/>
          <w:szCs w:val="22"/>
          <w:lang w:val="x-none"/>
        </w:rPr>
        <w:t xml:space="preserve">Банк вправе в одностороннем порядке увеличить размер комиссии, применяемой в соответствии с пунктом </w:t>
      </w:r>
      <w:r w:rsidRPr="008E59E2">
        <w:rPr>
          <w:sz w:val="22"/>
          <w:szCs w:val="22"/>
          <w:lang w:val="x-none" w:eastAsia="x-none"/>
        </w:rPr>
        <w:t>5.1.</w:t>
      </w:r>
      <w:r w:rsidRPr="008E59E2">
        <w:rPr>
          <w:sz w:val="22"/>
          <w:szCs w:val="22"/>
          <w:lang w:val="x-none"/>
        </w:rPr>
        <w:t xml:space="preserve"> Соглашения, на </w:t>
      </w:r>
      <w:r w:rsidRPr="008E59E2">
        <w:rPr>
          <w:sz w:val="22"/>
          <w:szCs w:val="22"/>
          <w:lang w:val="x-none" w:eastAsia="x-none"/>
        </w:rPr>
        <w:t xml:space="preserve">0,5% (Ноль целых и пять десятых процента) </w:t>
      </w:r>
      <w:r w:rsidRPr="008E59E2">
        <w:rPr>
          <w:sz w:val="22"/>
          <w:szCs w:val="22"/>
          <w:lang w:val="x-none"/>
        </w:rPr>
        <w:t xml:space="preserve">годовых, </w:t>
      </w:r>
      <w:r w:rsidRPr="008E59E2">
        <w:rPr>
          <w:color w:val="000000"/>
          <w:sz w:val="22"/>
          <w:szCs w:val="22"/>
          <w:lang w:val="x-none"/>
        </w:rPr>
        <w:t>начиная с рабочего дня, следующего за днем обнаружения Банком нарушения указанной обязанности Принципала,  и заканчивая  последней датой периода начисления комиссии, в котором Банк выявил устранение соответствующего нарушения Принципалом.</w:t>
      </w:r>
    </w:p>
    <w:p w:rsidR="008E59E2" w:rsidRPr="008E59E2" w:rsidRDefault="008E59E2" w:rsidP="008E59E2">
      <w:pPr>
        <w:jc w:val="both"/>
        <w:rPr>
          <w:color w:val="000000"/>
          <w:sz w:val="22"/>
          <w:szCs w:val="22"/>
        </w:rPr>
      </w:pPr>
      <w:r w:rsidRPr="008E59E2">
        <w:rPr>
          <w:sz w:val="22"/>
          <w:szCs w:val="22"/>
          <w:bdr w:val="none" w:sz="0" w:space="0" w:color="auto" w:frame="1"/>
        </w:rPr>
        <w:t xml:space="preserve">При достижении в отчетном периоде  показателя Чистый долг/EBITDA уровня свыше 4,0 (Четырех) – </w:t>
      </w:r>
      <w:r w:rsidRPr="008E59E2">
        <w:rPr>
          <w:sz w:val="22"/>
          <w:szCs w:val="22"/>
        </w:rPr>
        <w:t xml:space="preserve">Банк вправе в одностороннем порядке увеличить размер комиссии, применяемой в соответствии с пунктом 5.1. Соглашения, на 1% (Один процент) годовых, </w:t>
      </w:r>
      <w:r w:rsidRPr="008E59E2">
        <w:rPr>
          <w:color w:val="000000"/>
          <w:sz w:val="22"/>
          <w:szCs w:val="22"/>
        </w:rPr>
        <w:t xml:space="preserve">начиная с рабочего дня, следующего за днем обнаружения Банком достижения Принципалом указанного </w:t>
      </w:r>
      <w:r w:rsidRPr="008E59E2">
        <w:rPr>
          <w:sz w:val="22"/>
          <w:szCs w:val="22"/>
          <w:bdr w:val="none" w:sz="0" w:space="0" w:color="auto" w:frame="1"/>
        </w:rPr>
        <w:t>показателя Чистый долг/EBITDA</w:t>
      </w:r>
      <w:r w:rsidRPr="008E59E2">
        <w:rPr>
          <w:color w:val="000000"/>
          <w:sz w:val="22"/>
          <w:szCs w:val="22"/>
        </w:rPr>
        <w:t xml:space="preserve">,  и заканчивая  последней датой периода начисления комиссии, в котором Банк выявил устранение соответствующего нарушения Принципалом. </w:t>
      </w:r>
    </w:p>
    <w:p w:rsidR="008E59E2" w:rsidRPr="008E59E2" w:rsidRDefault="008E59E2" w:rsidP="008E59E2">
      <w:pPr>
        <w:tabs>
          <w:tab w:val="left" w:pos="460"/>
        </w:tabs>
        <w:suppressAutoHyphens/>
        <w:ind w:left="34"/>
        <w:jc w:val="both"/>
        <w:rPr>
          <w:sz w:val="22"/>
          <w:szCs w:val="22"/>
        </w:rPr>
      </w:pPr>
    </w:p>
    <w:p w:rsidR="008E59E2" w:rsidRPr="008E59E2" w:rsidRDefault="008E59E2" w:rsidP="008E59E2">
      <w:pPr>
        <w:tabs>
          <w:tab w:val="left" w:pos="460"/>
        </w:tabs>
        <w:suppressAutoHyphens/>
        <w:ind w:left="34"/>
        <w:jc w:val="both"/>
        <w:rPr>
          <w:sz w:val="22"/>
          <w:szCs w:val="22"/>
          <w:lang w:eastAsia="en-US"/>
        </w:rPr>
      </w:pPr>
      <w:r w:rsidRPr="008E59E2">
        <w:rPr>
          <w:sz w:val="22"/>
          <w:szCs w:val="22"/>
        </w:rPr>
        <w:t>Обеспечением обязательств Принципала по Соглашению перед Банком является:</w:t>
      </w:r>
    </w:p>
    <w:p w:rsidR="008E59E2" w:rsidRPr="008E59E2" w:rsidRDefault="008E59E2" w:rsidP="008E59E2">
      <w:pPr>
        <w:spacing w:before="100" w:beforeAutospacing="1" w:after="100" w:afterAutospacing="1"/>
        <w:jc w:val="both"/>
        <w:rPr>
          <w:sz w:val="22"/>
          <w:szCs w:val="22"/>
          <w:lang w:val="x-none" w:eastAsia="x-none"/>
        </w:rPr>
      </w:pPr>
      <w:r w:rsidRPr="008E59E2">
        <w:rPr>
          <w:sz w:val="22"/>
          <w:szCs w:val="22"/>
          <w:lang w:val="x-none" w:eastAsia="x-none"/>
        </w:rPr>
        <w:t xml:space="preserve">а) поручительство АО «ГИДРОМАШСЕРВИС», ОГРН 1027739083580 в пользу Банка, в соответствии с договором поручительства № 7713/S1, заключенным между АО «ГИДРОМАШСЕРВИС», ОГРН 1027739083580 и Банком; </w:t>
      </w:r>
    </w:p>
    <w:p w:rsidR="008E59E2" w:rsidRPr="008E59E2" w:rsidRDefault="008E59E2" w:rsidP="008E59E2">
      <w:pPr>
        <w:spacing w:before="100" w:beforeAutospacing="1" w:after="100" w:afterAutospacing="1"/>
        <w:jc w:val="both"/>
        <w:rPr>
          <w:sz w:val="22"/>
          <w:szCs w:val="22"/>
          <w:lang w:val="x-none" w:eastAsia="x-none"/>
        </w:rPr>
      </w:pPr>
      <w:r w:rsidRPr="008E59E2">
        <w:rPr>
          <w:sz w:val="22"/>
          <w:szCs w:val="22"/>
          <w:lang w:val="x-none" w:eastAsia="x-none"/>
        </w:rPr>
        <w:t>б) поручительство АО «ГМС Ливгидромаш», ОГРН 1025700514476 в пользу Банка, в соответствии с договором поручительства № 7713/S2, заключенным между АО «ГМС Ливгидромаш», ОГРН 1025700514476 и Банком;</w:t>
      </w:r>
    </w:p>
    <w:p w:rsidR="008E59E2" w:rsidRPr="008E59E2" w:rsidRDefault="008E59E2" w:rsidP="008E59E2">
      <w:pPr>
        <w:spacing w:before="100" w:beforeAutospacing="1" w:afterAutospacing="1"/>
        <w:jc w:val="both"/>
        <w:rPr>
          <w:sz w:val="22"/>
          <w:szCs w:val="22"/>
          <w:lang w:val="x-none" w:eastAsia="x-none"/>
        </w:rPr>
      </w:pPr>
      <w:r w:rsidRPr="008E59E2">
        <w:rPr>
          <w:sz w:val="22"/>
          <w:szCs w:val="22"/>
          <w:lang w:val="x-none" w:eastAsia="x-none"/>
        </w:rPr>
        <w:t>в) поручительство АО «Сибнефтемаш», ОГРН 1027200811285 в пользу Банка, в соответствии с договором поручительства № 7713/S3, заключенным между АО «Сибнефтемаш», ОГРН 1027200811285 и Банком.</w:t>
      </w:r>
    </w:p>
    <w:p w:rsidR="008E59E2" w:rsidRPr="008E59E2" w:rsidRDefault="008E59E2" w:rsidP="008E59E2">
      <w:pPr>
        <w:ind w:right="-5"/>
        <w:jc w:val="both"/>
        <w:rPr>
          <w:i/>
          <w:sz w:val="22"/>
          <w:szCs w:val="22"/>
        </w:rPr>
      </w:pPr>
      <w:r w:rsidRPr="008E59E2">
        <w:rPr>
          <w:i/>
          <w:sz w:val="22"/>
          <w:szCs w:val="22"/>
        </w:rPr>
        <w:t xml:space="preserve">Согласно п.6 ст.83 Федерального закона </w:t>
      </w:r>
      <w:r w:rsidRPr="008E59E2">
        <w:rPr>
          <w:i/>
          <w:iCs/>
          <w:sz w:val="22"/>
          <w:szCs w:val="22"/>
        </w:rPr>
        <w:t>от 26.12.1995 N 208-ФЗ «Об акционерных обществах» указываются сведения о з</w:t>
      </w:r>
      <w:r w:rsidRPr="008E59E2">
        <w:rPr>
          <w:i/>
          <w:sz w:val="22"/>
          <w:szCs w:val="22"/>
        </w:rPr>
        <w:t>аинтересованных в совершении сделки лицах и основаниях заинтересованности таких лиц:</w:t>
      </w:r>
    </w:p>
    <w:p w:rsidR="008E59E2" w:rsidRPr="008E59E2" w:rsidRDefault="008E59E2" w:rsidP="008E59E2">
      <w:pPr>
        <w:jc w:val="both"/>
        <w:rPr>
          <w:rFonts w:eastAsia="Calibri"/>
          <w:sz w:val="22"/>
          <w:szCs w:val="22"/>
        </w:rPr>
      </w:pPr>
      <w:r w:rsidRPr="008E59E2">
        <w:rPr>
          <w:rFonts w:eastAsia="Calibri"/>
          <w:sz w:val="22"/>
          <w:szCs w:val="22"/>
        </w:rPr>
        <w:t>1</w:t>
      </w:r>
      <w:r w:rsidRPr="008E59E2">
        <w:rPr>
          <w:sz w:val="22"/>
          <w:szCs w:val="22"/>
        </w:rPr>
        <w:t>. контролирующее лицо Общества - АО «ГМС Нефтемаш» является выгодоприобретателем по сделке;</w:t>
      </w:r>
    </w:p>
    <w:p w:rsidR="008E59E2" w:rsidRPr="008E59E2" w:rsidRDefault="008E59E2" w:rsidP="008E59E2">
      <w:pPr>
        <w:jc w:val="both"/>
        <w:rPr>
          <w:rFonts w:eastAsia="Calibri"/>
          <w:sz w:val="22"/>
          <w:szCs w:val="22"/>
        </w:rPr>
      </w:pPr>
      <w:r w:rsidRPr="008E59E2">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8E59E2" w:rsidRPr="008E59E2" w:rsidRDefault="008E59E2" w:rsidP="008E59E2">
      <w:pPr>
        <w:jc w:val="both"/>
        <w:rPr>
          <w:rFonts w:eastAsia="Calibri"/>
          <w:sz w:val="22"/>
          <w:szCs w:val="22"/>
        </w:rPr>
      </w:pPr>
      <w:r w:rsidRPr="008E59E2">
        <w:rPr>
          <w:sz w:val="22"/>
          <w:szCs w:val="22"/>
        </w:rPr>
        <w:t xml:space="preserve">3. косвенно контролирующее лицо Общества - </w:t>
      </w:r>
      <w:r w:rsidRPr="008E59E2">
        <w:rPr>
          <w:bCs/>
          <w:sz w:val="22"/>
          <w:szCs w:val="22"/>
        </w:rPr>
        <w:t>HMS HYDRAULIC MACHINES &amp; SYSTEMS GROUP PLC</w:t>
      </w:r>
      <w:r w:rsidRPr="008E59E2">
        <w:rPr>
          <w:sz w:val="22"/>
          <w:szCs w:val="22"/>
        </w:rPr>
        <w:t xml:space="preserve"> (является косвенно контролирующим лицом АО «ГМС Нефтемаш» - выгодоприобретателя по сделке);</w:t>
      </w:r>
    </w:p>
    <w:p w:rsidR="008E59E2" w:rsidRPr="008E59E2" w:rsidRDefault="008E59E2" w:rsidP="008E59E2">
      <w:pPr>
        <w:jc w:val="both"/>
        <w:rPr>
          <w:sz w:val="22"/>
          <w:szCs w:val="22"/>
        </w:rPr>
      </w:pPr>
      <w:r w:rsidRPr="008E59E2">
        <w:rPr>
          <w:iCs/>
          <w:sz w:val="22"/>
          <w:szCs w:val="22"/>
        </w:rPr>
        <w:t xml:space="preserve">4. </w:t>
      </w:r>
      <w:r w:rsidRPr="008E59E2">
        <w:rPr>
          <w:sz w:val="22"/>
          <w:szCs w:val="22"/>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8E59E2" w:rsidRPr="008E59E2" w:rsidRDefault="008E59E2" w:rsidP="008E59E2">
      <w:pPr>
        <w:autoSpaceDE w:val="0"/>
        <w:autoSpaceDN w:val="0"/>
        <w:adjustRightInd w:val="0"/>
        <w:jc w:val="both"/>
        <w:rPr>
          <w:sz w:val="22"/>
          <w:szCs w:val="22"/>
        </w:rPr>
      </w:pPr>
      <w:r w:rsidRPr="008E59E2">
        <w:rPr>
          <w:sz w:val="22"/>
          <w:szCs w:val="22"/>
        </w:rPr>
        <w:t xml:space="preserve">5. управляющая организация Общества - </w:t>
      </w:r>
      <w:r w:rsidRPr="008E59E2">
        <w:rPr>
          <w:rFonts w:eastAsia="Calibri"/>
          <w:sz w:val="22"/>
          <w:szCs w:val="22"/>
        </w:rPr>
        <w:t xml:space="preserve">ООО «УК «Группа ГМС» (является также </w:t>
      </w:r>
      <w:r w:rsidRPr="008E59E2">
        <w:rPr>
          <w:sz w:val="22"/>
          <w:szCs w:val="22"/>
        </w:rPr>
        <w:t>управляющей организацией АО «ГМС Нефтемаш» - выгодоприобретателя по сделке);</w:t>
      </w:r>
    </w:p>
    <w:p w:rsidR="008E59E2" w:rsidRPr="008E59E2" w:rsidRDefault="008E59E2" w:rsidP="008E59E2">
      <w:pPr>
        <w:jc w:val="both"/>
        <w:rPr>
          <w:sz w:val="22"/>
          <w:szCs w:val="22"/>
        </w:rPr>
      </w:pPr>
      <w:r w:rsidRPr="008E59E2">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055939" w:rsidRPr="00A65C03" w:rsidRDefault="008E59E2" w:rsidP="00055939">
      <w:pPr>
        <w:overflowPunct w:val="0"/>
        <w:autoSpaceDE w:val="0"/>
        <w:autoSpaceDN w:val="0"/>
        <w:adjustRightInd w:val="0"/>
        <w:spacing w:before="120"/>
        <w:jc w:val="both"/>
        <w:rPr>
          <w:b/>
          <w:sz w:val="22"/>
          <w:szCs w:val="22"/>
        </w:rPr>
      </w:pPr>
      <w:r>
        <w:rPr>
          <w:b/>
          <w:sz w:val="22"/>
          <w:szCs w:val="22"/>
        </w:rPr>
        <w:t>Дата составления отчета: «10» января 2020</w:t>
      </w:r>
      <w:r w:rsidR="00055939" w:rsidRPr="00A65C03">
        <w:rPr>
          <w:b/>
          <w:sz w:val="22"/>
          <w:szCs w:val="22"/>
        </w:rPr>
        <w:t xml:space="preserve"> года.</w:t>
      </w:r>
    </w:p>
    <w:p w:rsidR="004A044A" w:rsidRPr="00A65C03" w:rsidRDefault="004A044A" w:rsidP="004A044A">
      <w:pPr>
        <w:rPr>
          <w:b/>
          <w:sz w:val="22"/>
          <w:szCs w:val="22"/>
        </w:rPr>
      </w:pPr>
      <w:r w:rsidRPr="00A65C03">
        <w:rPr>
          <w:b/>
          <w:sz w:val="22"/>
          <w:szCs w:val="22"/>
        </w:rPr>
        <w:t>Председатель Собрания</w:t>
      </w:r>
      <w:r w:rsidRPr="00A65C03">
        <w:rPr>
          <w:b/>
          <w:sz w:val="22"/>
          <w:szCs w:val="22"/>
        </w:rPr>
        <w:tab/>
      </w:r>
      <w:r w:rsidRPr="00A65C03">
        <w:rPr>
          <w:b/>
          <w:sz w:val="22"/>
          <w:szCs w:val="22"/>
        </w:rPr>
        <w:tab/>
      </w:r>
      <w:r w:rsidRPr="00A65C03">
        <w:rPr>
          <w:b/>
          <w:sz w:val="22"/>
          <w:szCs w:val="22"/>
        </w:rPr>
        <w:tab/>
        <w:t>(подпись)</w:t>
      </w:r>
      <w:r w:rsidRPr="00A65C03">
        <w:rPr>
          <w:b/>
          <w:sz w:val="22"/>
          <w:szCs w:val="22"/>
        </w:rPr>
        <w:tab/>
      </w:r>
      <w:r w:rsidRPr="00A65C03">
        <w:rPr>
          <w:b/>
          <w:sz w:val="22"/>
          <w:szCs w:val="22"/>
        </w:rPr>
        <w:tab/>
      </w:r>
      <w:r w:rsidRPr="00A65C03">
        <w:rPr>
          <w:b/>
          <w:sz w:val="22"/>
          <w:szCs w:val="22"/>
        </w:rPr>
        <w:tab/>
        <w:t>А.Е. Новиков</w:t>
      </w:r>
    </w:p>
    <w:p w:rsidR="004A044A" w:rsidRPr="00A65C03" w:rsidRDefault="00782F27" w:rsidP="004A044A">
      <w:pPr>
        <w:rPr>
          <w:b/>
          <w:sz w:val="22"/>
          <w:szCs w:val="22"/>
        </w:rPr>
      </w:pPr>
      <w:r w:rsidRPr="00A65C03">
        <w:rPr>
          <w:b/>
          <w:sz w:val="22"/>
          <w:szCs w:val="22"/>
        </w:rPr>
        <w:t>Секретарь Собрания</w:t>
      </w:r>
      <w:r w:rsidRPr="00A65C03">
        <w:rPr>
          <w:b/>
          <w:sz w:val="22"/>
          <w:szCs w:val="22"/>
        </w:rPr>
        <w:tab/>
      </w:r>
      <w:r w:rsidRPr="00A65C03">
        <w:rPr>
          <w:b/>
          <w:sz w:val="22"/>
          <w:szCs w:val="22"/>
        </w:rPr>
        <w:tab/>
      </w:r>
      <w:r w:rsidRPr="00A65C03">
        <w:rPr>
          <w:b/>
          <w:sz w:val="22"/>
          <w:szCs w:val="22"/>
        </w:rPr>
        <w:tab/>
      </w:r>
      <w:r w:rsidR="00774C5B">
        <w:rPr>
          <w:b/>
          <w:sz w:val="22"/>
          <w:szCs w:val="22"/>
        </w:rPr>
        <w:t xml:space="preserve">             </w:t>
      </w:r>
      <w:r w:rsidR="004A044A" w:rsidRPr="00A65C03">
        <w:rPr>
          <w:b/>
          <w:sz w:val="22"/>
          <w:szCs w:val="22"/>
        </w:rPr>
        <w:t>(подпись)</w:t>
      </w:r>
      <w:r w:rsidR="004A044A" w:rsidRPr="00A65C03">
        <w:rPr>
          <w:b/>
          <w:sz w:val="22"/>
          <w:szCs w:val="22"/>
        </w:rPr>
        <w:tab/>
      </w:r>
      <w:r w:rsidR="004A044A" w:rsidRPr="00A65C03">
        <w:rPr>
          <w:b/>
          <w:sz w:val="22"/>
          <w:szCs w:val="22"/>
        </w:rPr>
        <w:tab/>
        <w:t xml:space="preserve">          </w:t>
      </w:r>
      <w:r w:rsidR="00481FDB">
        <w:rPr>
          <w:b/>
          <w:sz w:val="22"/>
          <w:szCs w:val="22"/>
        </w:rPr>
        <w:t xml:space="preserve">   Н.</w:t>
      </w:r>
      <w:r w:rsidR="004A044A" w:rsidRPr="00A65C03">
        <w:rPr>
          <w:b/>
          <w:sz w:val="22"/>
          <w:szCs w:val="22"/>
        </w:rPr>
        <w:t>В. Нугаева</w:t>
      </w:r>
    </w:p>
    <w:p w:rsidR="004A044A" w:rsidRPr="00A65C03" w:rsidRDefault="00C119B2" w:rsidP="00C119B2">
      <w:pPr>
        <w:rPr>
          <w:sz w:val="22"/>
          <w:szCs w:val="22"/>
        </w:rPr>
      </w:pPr>
      <w:r>
        <w:rPr>
          <w:b/>
          <w:sz w:val="22"/>
          <w:szCs w:val="22"/>
        </w:rPr>
        <w:t xml:space="preserve">   </w:t>
      </w:r>
      <w:r w:rsidR="004A044A" w:rsidRPr="00A65C03">
        <w:rPr>
          <w:b/>
          <w:sz w:val="22"/>
          <w:szCs w:val="22"/>
        </w:rPr>
        <w:t xml:space="preserve">                              </w:t>
      </w:r>
      <w:r>
        <w:rPr>
          <w:b/>
          <w:sz w:val="22"/>
          <w:szCs w:val="22"/>
        </w:rPr>
        <w:t xml:space="preserve">                                                                       </w:t>
      </w:r>
      <w:r w:rsidR="004A044A" w:rsidRPr="00A65C03">
        <w:rPr>
          <w:sz w:val="22"/>
          <w:szCs w:val="22"/>
        </w:rPr>
        <w:t xml:space="preserve">М.П. </w:t>
      </w:r>
    </w:p>
    <w:p w:rsidR="004A044A" w:rsidRPr="00A65C03" w:rsidRDefault="004A044A" w:rsidP="004A044A">
      <w:pPr>
        <w:rPr>
          <w:sz w:val="22"/>
          <w:szCs w:val="22"/>
        </w:rPr>
      </w:pPr>
    </w:p>
    <w:p w:rsidR="00987F1C" w:rsidRDefault="00987F1C" w:rsidP="004A044A">
      <w:pPr>
        <w:pStyle w:val="ConsPlusNormal"/>
        <w:jc w:val="both"/>
        <w:rPr>
          <w:rFonts w:ascii="Times New Roman" w:hAnsi="Times New Roman" w:cs="Times New Roman"/>
          <w:b/>
          <w:sz w:val="22"/>
          <w:szCs w:val="22"/>
        </w:rPr>
      </w:pPr>
    </w:p>
    <w:p w:rsidR="004A044A" w:rsidRPr="00A65C03" w:rsidRDefault="004A044A" w:rsidP="004A044A">
      <w:pPr>
        <w:pStyle w:val="ConsPlusNormal"/>
        <w:jc w:val="both"/>
        <w:rPr>
          <w:rFonts w:ascii="Times New Roman" w:hAnsi="Times New Roman" w:cs="Times New Roman"/>
          <w:b/>
          <w:sz w:val="22"/>
          <w:szCs w:val="22"/>
        </w:rPr>
      </w:pPr>
      <w:r w:rsidRPr="00A65C03">
        <w:rPr>
          <w:rFonts w:ascii="Times New Roman" w:hAnsi="Times New Roman" w:cs="Times New Roman"/>
          <w:b/>
          <w:sz w:val="22"/>
          <w:szCs w:val="22"/>
        </w:rPr>
        <w:t>Уполномоченный представитель                                    _______________ Н.В. Нугаева</w:t>
      </w:r>
    </w:p>
    <w:p w:rsidR="00055939" w:rsidRPr="00987F1C" w:rsidRDefault="004A044A" w:rsidP="00987F1C">
      <w:pPr>
        <w:pStyle w:val="ConsPlusNormal"/>
        <w:jc w:val="both"/>
        <w:rPr>
          <w:rFonts w:ascii="Times New Roman" w:hAnsi="Times New Roman" w:cs="Times New Roman"/>
          <w:sz w:val="22"/>
          <w:szCs w:val="22"/>
        </w:rPr>
      </w:pPr>
      <w:r w:rsidRPr="00987F1C">
        <w:rPr>
          <w:rFonts w:ascii="Times New Roman" w:hAnsi="Times New Roman" w:cs="Times New Roman"/>
          <w:sz w:val="22"/>
          <w:szCs w:val="22"/>
        </w:rPr>
        <w:t>(по доверенности №16/18-СНМ от 28.08.2018)</w:t>
      </w:r>
    </w:p>
    <w:sectPr w:rsidR="00055939" w:rsidRPr="00987F1C"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31" w:rsidRDefault="002F4331" w:rsidP="00055939">
      <w:r>
        <w:separator/>
      </w:r>
    </w:p>
  </w:endnote>
  <w:endnote w:type="continuationSeparator" w:id="0">
    <w:p w:rsidR="002F4331" w:rsidRDefault="002F4331"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sdtContent>
      <w:p w:rsidR="00354CA7" w:rsidRDefault="00354CA7">
        <w:pPr>
          <w:pStyle w:val="aa"/>
          <w:jc w:val="right"/>
        </w:pPr>
        <w:r>
          <w:fldChar w:fldCharType="begin"/>
        </w:r>
        <w:r>
          <w:instrText>PAGE   \* MERGEFORMAT</w:instrText>
        </w:r>
        <w:r>
          <w:fldChar w:fldCharType="separate"/>
        </w:r>
        <w:r w:rsidR="00602805">
          <w:rPr>
            <w:noProof/>
          </w:rPr>
          <w:t>2</w:t>
        </w:r>
        <w:r>
          <w:fldChar w:fldCharType="end"/>
        </w:r>
      </w:p>
    </w:sdtContent>
  </w:sdt>
  <w:p w:rsidR="00354CA7" w:rsidRDefault="00354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31" w:rsidRDefault="002F4331" w:rsidP="00055939">
      <w:r>
        <w:separator/>
      </w:r>
    </w:p>
  </w:footnote>
  <w:footnote w:type="continuationSeparator" w:id="0">
    <w:p w:rsidR="002F4331" w:rsidRDefault="002F4331"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DBE"/>
    <w:rsid w:val="00047538"/>
    <w:rsid w:val="0005084C"/>
    <w:rsid w:val="00055939"/>
    <w:rsid w:val="00056547"/>
    <w:rsid w:val="00056AD4"/>
    <w:rsid w:val="000613CF"/>
    <w:rsid w:val="000804CC"/>
    <w:rsid w:val="000A01D8"/>
    <w:rsid w:val="000A7F39"/>
    <w:rsid w:val="000C0BD8"/>
    <w:rsid w:val="000E69A5"/>
    <w:rsid w:val="000F552D"/>
    <w:rsid w:val="00153DE3"/>
    <w:rsid w:val="00171E01"/>
    <w:rsid w:val="001733E9"/>
    <w:rsid w:val="00177E83"/>
    <w:rsid w:val="001812D3"/>
    <w:rsid w:val="00183711"/>
    <w:rsid w:val="001E45E3"/>
    <w:rsid w:val="001F0B97"/>
    <w:rsid w:val="00217243"/>
    <w:rsid w:val="00225980"/>
    <w:rsid w:val="002264ED"/>
    <w:rsid w:val="002302EB"/>
    <w:rsid w:val="00255530"/>
    <w:rsid w:val="00260142"/>
    <w:rsid w:val="00261F77"/>
    <w:rsid w:val="00266030"/>
    <w:rsid w:val="002719D3"/>
    <w:rsid w:val="00276B08"/>
    <w:rsid w:val="002955E6"/>
    <w:rsid w:val="002961A7"/>
    <w:rsid w:val="002969D0"/>
    <w:rsid w:val="002A1315"/>
    <w:rsid w:val="002B2C83"/>
    <w:rsid w:val="002E46F5"/>
    <w:rsid w:val="002E6436"/>
    <w:rsid w:val="002E77C8"/>
    <w:rsid w:val="002F4331"/>
    <w:rsid w:val="003101F3"/>
    <w:rsid w:val="00310CE2"/>
    <w:rsid w:val="00354CA7"/>
    <w:rsid w:val="0036029C"/>
    <w:rsid w:val="00372EFA"/>
    <w:rsid w:val="00375A39"/>
    <w:rsid w:val="00384DC8"/>
    <w:rsid w:val="003A093B"/>
    <w:rsid w:val="003B51A9"/>
    <w:rsid w:val="003D5C01"/>
    <w:rsid w:val="003D738D"/>
    <w:rsid w:val="003D7EB0"/>
    <w:rsid w:val="003E2ACD"/>
    <w:rsid w:val="003E2DA6"/>
    <w:rsid w:val="003F6962"/>
    <w:rsid w:val="004017EE"/>
    <w:rsid w:val="004146C5"/>
    <w:rsid w:val="004409AF"/>
    <w:rsid w:val="004503D3"/>
    <w:rsid w:val="00452457"/>
    <w:rsid w:val="0045602B"/>
    <w:rsid w:val="0046229F"/>
    <w:rsid w:val="00481FDB"/>
    <w:rsid w:val="004A044A"/>
    <w:rsid w:val="004A275C"/>
    <w:rsid w:val="004B449B"/>
    <w:rsid w:val="004B517C"/>
    <w:rsid w:val="004B69D1"/>
    <w:rsid w:val="004D5CB1"/>
    <w:rsid w:val="004D67E8"/>
    <w:rsid w:val="004F2039"/>
    <w:rsid w:val="0050748C"/>
    <w:rsid w:val="005137B5"/>
    <w:rsid w:val="00551B39"/>
    <w:rsid w:val="00562602"/>
    <w:rsid w:val="00562C5E"/>
    <w:rsid w:val="00582FEE"/>
    <w:rsid w:val="0058745D"/>
    <w:rsid w:val="005A0835"/>
    <w:rsid w:val="005A1D77"/>
    <w:rsid w:val="005B42E3"/>
    <w:rsid w:val="005B79DD"/>
    <w:rsid w:val="005D3318"/>
    <w:rsid w:val="005E0487"/>
    <w:rsid w:val="005E13F3"/>
    <w:rsid w:val="005F2617"/>
    <w:rsid w:val="005F6993"/>
    <w:rsid w:val="00600667"/>
    <w:rsid w:val="00602805"/>
    <w:rsid w:val="00610F75"/>
    <w:rsid w:val="006426B4"/>
    <w:rsid w:val="00665FF6"/>
    <w:rsid w:val="00667DD7"/>
    <w:rsid w:val="00693176"/>
    <w:rsid w:val="006B279F"/>
    <w:rsid w:val="006B6F56"/>
    <w:rsid w:val="006D5BC8"/>
    <w:rsid w:val="006F2E90"/>
    <w:rsid w:val="006F429D"/>
    <w:rsid w:val="006F563A"/>
    <w:rsid w:val="006F7FE4"/>
    <w:rsid w:val="007116E6"/>
    <w:rsid w:val="00733922"/>
    <w:rsid w:val="00742591"/>
    <w:rsid w:val="00772678"/>
    <w:rsid w:val="00774C5B"/>
    <w:rsid w:val="00782F27"/>
    <w:rsid w:val="00787EDC"/>
    <w:rsid w:val="007A180F"/>
    <w:rsid w:val="007C03D0"/>
    <w:rsid w:val="007C1FAF"/>
    <w:rsid w:val="007C4C9E"/>
    <w:rsid w:val="007D0249"/>
    <w:rsid w:val="007F56A6"/>
    <w:rsid w:val="00814F0B"/>
    <w:rsid w:val="00815B37"/>
    <w:rsid w:val="0081713C"/>
    <w:rsid w:val="008309B5"/>
    <w:rsid w:val="00830BEA"/>
    <w:rsid w:val="00846B3D"/>
    <w:rsid w:val="00866EBB"/>
    <w:rsid w:val="00871516"/>
    <w:rsid w:val="0087435C"/>
    <w:rsid w:val="00884EAF"/>
    <w:rsid w:val="008A0259"/>
    <w:rsid w:val="008A7DF0"/>
    <w:rsid w:val="008C2591"/>
    <w:rsid w:val="008C666F"/>
    <w:rsid w:val="008E59E2"/>
    <w:rsid w:val="008F0CEC"/>
    <w:rsid w:val="008F55AF"/>
    <w:rsid w:val="009129CB"/>
    <w:rsid w:val="00914E6A"/>
    <w:rsid w:val="00927F6F"/>
    <w:rsid w:val="009333A7"/>
    <w:rsid w:val="00935066"/>
    <w:rsid w:val="00941CE0"/>
    <w:rsid w:val="009460C1"/>
    <w:rsid w:val="00952A92"/>
    <w:rsid w:val="00987F1C"/>
    <w:rsid w:val="009909A7"/>
    <w:rsid w:val="009919D2"/>
    <w:rsid w:val="009C496D"/>
    <w:rsid w:val="009C593C"/>
    <w:rsid w:val="009F4ADE"/>
    <w:rsid w:val="00A04C1B"/>
    <w:rsid w:val="00A142E2"/>
    <w:rsid w:val="00A41B09"/>
    <w:rsid w:val="00A41FD9"/>
    <w:rsid w:val="00A43D2D"/>
    <w:rsid w:val="00A459EE"/>
    <w:rsid w:val="00A46818"/>
    <w:rsid w:val="00A50860"/>
    <w:rsid w:val="00A65AE4"/>
    <w:rsid w:val="00A65C03"/>
    <w:rsid w:val="00A76C33"/>
    <w:rsid w:val="00AA7351"/>
    <w:rsid w:val="00AE7C5C"/>
    <w:rsid w:val="00B0582C"/>
    <w:rsid w:val="00B44650"/>
    <w:rsid w:val="00B55B6A"/>
    <w:rsid w:val="00B73116"/>
    <w:rsid w:val="00B73444"/>
    <w:rsid w:val="00B84D5F"/>
    <w:rsid w:val="00B93253"/>
    <w:rsid w:val="00BB4BC9"/>
    <w:rsid w:val="00BC1296"/>
    <w:rsid w:val="00C119B2"/>
    <w:rsid w:val="00C16150"/>
    <w:rsid w:val="00C259A4"/>
    <w:rsid w:val="00C4254A"/>
    <w:rsid w:val="00C8609F"/>
    <w:rsid w:val="00C9616F"/>
    <w:rsid w:val="00C97EEC"/>
    <w:rsid w:val="00CB6C42"/>
    <w:rsid w:val="00CC0247"/>
    <w:rsid w:val="00CC422A"/>
    <w:rsid w:val="00CC5281"/>
    <w:rsid w:val="00CD4043"/>
    <w:rsid w:val="00CE7C6D"/>
    <w:rsid w:val="00CF4280"/>
    <w:rsid w:val="00D20AE2"/>
    <w:rsid w:val="00D219D1"/>
    <w:rsid w:val="00D24BCC"/>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04D04"/>
    <w:rsid w:val="00E17F1F"/>
    <w:rsid w:val="00E2019E"/>
    <w:rsid w:val="00E40748"/>
    <w:rsid w:val="00E659C7"/>
    <w:rsid w:val="00E710C3"/>
    <w:rsid w:val="00E74F2E"/>
    <w:rsid w:val="00E75390"/>
    <w:rsid w:val="00E83E8E"/>
    <w:rsid w:val="00E955E4"/>
    <w:rsid w:val="00EB674B"/>
    <w:rsid w:val="00EC653A"/>
    <w:rsid w:val="00F02408"/>
    <w:rsid w:val="00F15066"/>
    <w:rsid w:val="00F3030F"/>
    <w:rsid w:val="00F331A9"/>
    <w:rsid w:val="00F709F8"/>
    <w:rsid w:val="00F710B6"/>
    <w:rsid w:val="00FA3C30"/>
    <w:rsid w:val="00FD696C"/>
    <w:rsid w:val="00FE0565"/>
    <w:rsid w:val="00FE21C2"/>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 w:type="paragraph" w:styleId="af">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преамбула"/>
    <w:basedOn w:val="a0"/>
    <w:rsid w:val="00DD167B"/>
    <w:pPr>
      <w:widowControl w:val="0"/>
      <w:spacing w:before="120" w:line="300" w:lineRule="exact"/>
      <w:jc w:val="both"/>
    </w:pPr>
    <w:rPr>
      <w:rFonts w:ascii="Arial" w:hAnsi="Arial"/>
      <w:color w:val="000000"/>
      <w:szCs w:val="20"/>
    </w:rPr>
  </w:style>
  <w:style w:type="character" w:styleId="af1">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13575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Варкентин Евгения Николаевна</cp:lastModifiedBy>
  <cp:revision>2</cp:revision>
  <dcterms:created xsi:type="dcterms:W3CDTF">2020-01-10T10:27:00Z</dcterms:created>
  <dcterms:modified xsi:type="dcterms:W3CDTF">2020-01-10T10:27:00Z</dcterms:modified>
</cp:coreProperties>
</file>