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Default="00055939" w:rsidP="00055939">
      <w:pPr>
        <w:overflowPunct w:val="0"/>
        <w:autoSpaceDE w:val="0"/>
        <w:autoSpaceDN w:val="0"/>
        <w:adjustRightInd w:val="0"/>
        <w:jc w:val="center"/>
        <w:rPr>
          <w:b/>
          <w:sz w:val="22"/>
          <w:szCs w:val="22"/>
        </w:rPr>
      </w:pPr>
      <w:r>
        <w:rPr>
          <w:b/>
          <w:sz w:val="22"/>
          <w:szCs w:val="22"/>
        </w:rPr>
        <w:t>ОТЧЕТ ОБ ИТОГАХ ГОЛОСОВАНИЯ</w:t>
      </w:r>
    </w:p>
    <w:p w:rsidR="00055939" w:rsidRDefault="00055939" w:rsidP="00055939">
      <w:pPr>
        <w:overflowPunct w:val="0"/>
        <w:autoSpaceDE w:val="0"/>
        <w:autoSpaceDN w:val="0"/>
        <w:adjustRightInd w:val="0"/>
        <w:jc w:val="center"/>
        <w:rPr>
          <w:b/>
          <w:sz w:val="22"/>
          <w:szCs w:val="22"/>
        </w:rPr>
      </w:pPr>
      <w:r>
        <w:rPr>
          <w:b/>
          <w:sz w:val="22"/>
          <w:szCs w:val="22"/>
        </w:rPr>
        <w:t xml:space="preserve">НА ВНЕОЧЕРЕДНОМ ОБЩЕМ СОБРАНИИ АКЦИОНЕРОВ  </w:t>
      </w:r>
    </w:p>
    <w:p w:rsidR="00055939" w:rsidRDefault="00055939" w:rsidP="00055939">
      <w:pPr>
        <w:pStyle w:val="a4"/>
        <w:rPr>
          <w:b/>
          <w:sz w:val="22"/>
          <w:szCs w:val="22"/>
        </w:rPr>
      </w:pPr>
      <w:r>
        <w:rPr>
          <w:b/>
          <w:sz w:val="22"/>
          <w:szCs w:val="22"/>
        </w:rPr>
        <w:t>АКЦИОНЕРНОГО ОБЩЕСТВА «СИБНЕФТЕМАШ»</w:t>
      </w:r>
    </w:p>
    <w:p w:rsidR="00055939"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 xml:space="preserve">Акционерное общество «Сибнефтемаш» </w:t>
            </w:r>
          </w:p>
          <w:p w:rsidR="00055939" w:rsidRDefault="00055939">
            <w:pPr>
              <w:jc w:val="both"/>
            </w:pPr>
            <w:r>
              <w:t xml:space="preserve">(далее АО «Сибнефтемаш» или «Общество») </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Место нахождения </w:t>
            </w:r>
          </w:p>
          <w:p w:rsidR="00055939" w:rsidRDefault="00055939">
            <w: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внеочередное</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376EC9">
            <w:pPr>
              <w:jc w:val="both"/>
              <w:rPr>
                <w:b/>
              </w:rPr>
            </w:pPr>
            <w:r>
              <w:rPr>
                <w:b/>
              </w:rPr>
              <w:t>«1</w:t>
            </w:r>
            <w:r>
              <w:rPr>
                <w:b/>
                <w:lang w:val="en-US"/>
              </w:rPr>
              <w:t>0</w:t>
            </w:r>
            <w:r>
              <w:rPr>
                <w:b/>
              </w:rPr>
              <w:t>» февраля</w:t>
            </w:r>
            <w:r w:rsidR="00055939">
              <w:rPr>
                <w:b/>
              </w:rPr>
              <w:t xml:space="preserve"> 2017 года</w:t>
            </w:r>
          </w:p>
        </w:tc>
      </w:tr>
      <w:tr w:rsidR="00055939" w:rsidTr="00582FEE">
        <w:trPr>
          <w:trHeight w:val="424"/>
        </w:trPr>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055939">
            <w:pPr>
              <w:jc w:val="both"/>
            </w:pPr>
            <w:r>
              <w:t>625511, РФ, Тюменская область, Тюменский район, 15 километр Тобольского тракта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055939" w:rsidRDefault="00055939">
            <w:pPr>
              <w:jc w:val="both"/>
            </w:pPr>
          </w:p>
          <w:p w:rsidR="00055939" w:rsidRDefault="00055939">
            <w:pPr>
              <w:jc w:val="both"/>
            </w:pPr>
          </w:p>
          <w:p w:rsidR="00055939" w:rsidRDefault="00376EC9">
            <w:pPr>
              <w:jc w:val="both"/>
            </w:pPr>
            <w:r>
              <w:t>«20» января</w:t>
            </w:r>
            <w:r w:rsidR="00055939">
              <w:t xml:space="preserve"> 2017 года</w:t>
            </w:r>
          </w:p>
        </w:tc>
      </w:tr>
      <w:tr w:rsidR="00055939" w:rsidTr="00582FEE">
        <w:tc>
          <w:tcPr>
            <w:tcW w:w="3659" w:type="dxa"/>
            <w:tcBorders>
              <w:top w:val="single" w:sz="4" w:space="0" w:color="auto"/>
              <w:left w:val="single" w:sz="4" w:space="0" w:color="auto"/>
              <w:bottom w:val="single" w:sz="4" w:space="0" w:color="auto"/>
              <w:right w:val="single" w:sz="4" w:space="0" w:color="auto"/>
            </w:tcBorders>
            <w:hideMark/>
          </w:tcPr>
          <w:p w:rsidR="00055939" w:rsidRDefault="00055939">
            <w: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055939" w:rsidRDefault="00376EC9">
            <w:pPr>
              <w:jc w:val="both"/>
              <w:rPr>
                <w:b/>
              </w:rPr>
            </w:pPr>
            <w:r>
              <w:rPr>
                <w:b/>
              </w:rPr>
              <w:t>«10» февраля</w:t>
            </w:r>
            <w:r w:rsidR="00055939">
              <w:rPr>
                <w:b/>
              </w:rPr>
              <w:t xml:space="preserve"> 2017 года, 12 ч. 00 мин. </w:t>
            </w:r>
          </w:p>
        </w:tc>
      </w:tr>
    </w:tbl>
    <w:p w:rsidR="00055939" w:rsidRDefault="00055939" w:rsidP="00055939">
      <w:pPr>
        <w:ind w:firstLine="720"/>
        <w:jc w:val="both"/>
        <w:rPr>
          <w:sz w:val="22"/>
          <w:szCs w:val="22"/>
        </w:rPr>
      </w:pPr>
    </w:p>
    <w:p w:rsidR="00055939" w:rsidRDefault="00055939" w:rsidP="00055939">
      <w:pPr>
        <w:jc w:val="both"/>
        <w:rPr>
          <w:bCs/>
        </w:rPr>
      </w:pPr>
      <w:r>
        <w:rPr>
          <w:b/>
          <w:bCs/>
        </w:rPr>
        <w:t>Председатель собрания</w:t>
      </w:r>
      <w:r>
        <w:rPr>
          <w:bCs/>
        </w:rPr>
        <w:t>: Новиков Андрей Евгеньевич.</w:t>
      </w:r>
    </w:p>
    <w:p w:rsidR="00055939" w:rsidRDefault="00055939" w:rsidP="00055939">
      <w:pPr>
        <w:jc w:val="both"/>
        <w:rPr>
          <w:bCs/>
        </w:rPr>
      </w:pPr>
      <w:r>
        <w:rPr>
          <w:b/>
          <w:bCs/>
        </w:rPr>
        <w:t>Секретарь собрания</w:t>
      </w:r>
      <w:r>
        <w:rPr>
          <w:bCs/>
        </w:rPr>
        <w:t>: Воронина Юлия Александровна.</w:t>
      </w:r>
    </w:p>
    <w:p w:rsidR="00055939" w:rsidRDefault="00055939" w:rsidP="00055939">
      <w:pPr>
        <w:tabs>
          <w:tab w:val="left" w:pos="3261"/>
          <w:tab w:val="left" w:pos="10704"/>
        </w:tabs>
        <w:spacing w:before="120"/>
        <w:jc w:val="both"/>
      </w:pPr>
      <w:r>
        <w:rPr>
          <w:b/>
          <w:sz w:val="22"/>
          <w:szCs w:val="22"/>
        </w:rPr>
        <w:t>Счетная комиссия:</w:t>
      </w:r>
      <w:r>
        <w:rPr>
          <w:sz w:val="22"/>
          <w:szCs w:val="22"/>
        </w:rPr>
        <w:t xml:space="preserve"> Специализированный регистратор </w:t>
      </w:r>
      <w:r>
        <w:t>Акционерное общество «Новый регистратор» (Тюменский филиал).</w:t>
      </w:r>
    </w:p>
    <w:p w:rsidR="00055939" w:rsidRDefault="00055939" w:rsidP="00055939">
      <w:pPr>
        <w:tabs>
          <w:tab w:val="left" w:pos="3261"/>
          <w:tab w:val="left" w:pos="10704"/>
        </w:tabs>
        <w:spacing w:before="120"/>
        <w:jc w:val="both"/>
        <w:rPr>
          <w:sz w:val="22"/>
          <w:szCs w:val="22"/>
        </w:rPr>
      </w:pPr>
      <w:r>
        <w:rPr>
          <w:b/>
          <w:sz w:val="22"/>
          <w:szCs w:val="22"/>
        </w:rPr>
        <w:t>Место нахождения регистратора:</w:t>
      </w:r>
      <w:r>
        <w:rPr>
          <w:rFonts w:ascii="Arial" w:hAnsi="Arial" w:cs="Arial"/>
          <w:color w:val="000000"/>
          <w:sz w:val="21"/>
          <w:szCs w:val="21"/>
          <w:shd w:val="clear" w:color="auto" w:fill="FFFFFF"/>
        </w:rPr>
        <w:t xml:space="preserve"> </w:t>
      </w:r>
      <w:r>
        <w:t>107996, РФ, г. Москва, ул. Буженинова, д. 30, стр. 1</w:t>
      </w:r>
      <w:r>
        <w:rPr>
          <w:sz w:val="22"/>
          <w:szCs w:val="22"/>
        </w:rPr>
        <w:t xml:space="preserve"> (</w:t>
      </w:r>
      <w:r>
        <w:t>место нахождение Тюменского филиала: 625019, РФ, Тюменская область, г. Тюмень, ул. Республики, д. 211 А).</w:t>
      </w:r>
    </w:p>
    <w:p w:rsidR="00055939" w:rsidRDefault="00055939" w:rsidP="00055939">
      <w:pPr>
        <w:tabs>
          <w:tab w:val="left" w:pos="3261"/>
          <w:tab w:val="left" w:pos="10704"/>
        </w:tabs>
        <w:spacing w:before="60"/>
        <w:jc w:val="both"/>
        <w:rPr>
          <w:sz w:val="22"/>
          <w:szCs w:val="22"/>
        </w:rPr>
      </w:pPr>
      <w:r>
        <w:rPr>
          <w:b/>
          <w:sz w:val="22"/>
          <w:szCs w:val="22"/>
        </w:rPr>
        <w:t>Уполномоченное лицо регистратора:</w:t>
      </w:r>
      <w:r>
        <w:rPr>
          <w:sz w:val="22"/>
          <w:szCs w:val="22"/>
        </w:rPr>
        <w:t xml:space="preserve"> Токмянина</w:t>
      </w:r>
      <w:r w:rsidR="00766456">
        <w:rPr>
          <w:sz w:val="22"/>
          <w:szCs w:val="22"/>
        </w:rPr>
        <w:t xml:space="preserve"> Вера Львовна (доверенность №104 от 01.09.2014</w:t>
      </w:r>
      <w:r>
        <w:rPr>
          <w:sz w:val="22"/>
          <w:szCs w:val="22"/>
        </w:rPr>
        <w:t xml:space="preserve"> г. сроком действия до </w:t>
      </w:r>
      <w:r w:rsidR="00766456">
        <w:rPr>
          <w:sz w:val="22"/>
          <w:szCs w:val="22"/>
        </w:rPr>
        <w:t>01.09</w:t>
      </w:r>
      <w:r>
        <w:rPr>
          <w:sz w:val="22"/>
          <w:szCs w:val="22"/>
        </w:rPr>
        <w:t xml:space="preserve">.2017 г.). </w:t>
      </w:r>
    </w:p>
    <w:p w:rsidR="00055939" w:rsidRDefault="00055939" w:rsidP="00055939">
      <w:pPr>
        <w:jc w:val="both"/>
      </w:pPr>
    </w:p>
    <w:p w:rsidR="000E69A5" w:rsidRDefault="00055939" w:rsidP="000E69A5">
      <w:pPr>
        <w:jc w:val="both"/>
      </w:pPr>
      <w: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3F6962" w:rsidRDefault="003F6962" w:rsidP="000E69A5">
      <w:pPr>
        <w:jc w:val="both"/>
      </w:pPr>
    </w:p>
    <w:p w:rsidR="003F6962" w:rsidRPr="000E69A5" w:rsidRDefault="003F6962" w:rsidP="000E69A5">
      <w:pPr>
        <w:jc w:val="both"/>
        <w:sectPr w:rsidR="003F6962" w:rsidRPr="000E69A5">
          <w:footerReference w:type="default" r:id="rId7"/>
          <w:pgSz w:w="11906" w:h="16838"/>
          <w:pgMar w:top="1134" w:right="850" w:bottom="1134" w:left="1701" w:header="708" w:footer="708" w:gutter="0"/>
          <w:cols w:space="708"/>
          <w:docGrid w:linePitch="360"/>
        </w:sectPr>
      </w:pPr>
    </w:p>
    <w:tbl>
      <w:tblPr>
        <w:tblpPr w:leftFromText="180" w:rightFromText="180" w:vertAnchor="text" w:horzAnchor="margin" w:tblpY="6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843"/>
      </w:tblGrid>
      <w:tr w:rsidR="000E69A5" w:rsidRPr="006A5278" w:rsidTr="000E69A5">
        <w:trPr>
          <w:cantSplit/>
          <w:trHeight w:val="699"/>
        </w:trPr>
        <w:tc>
          <w:tcPr>
            <w:tcW w:w="7479" w:type="dxa"/>
            <w:shd w:val="clear" w:color="auto" w:fill="auto"/>
          </w:tcPr>
          <w:p w:rsidR="000E69A5" w:rsidRPr="00B0582C" w:rsidRDefault="000E69A5" w:rsidP="000E69A5">
            <w:pPr>
              <w:keepNext/>
              <w:spacing w:before="40" w:after="40"/>
              <w:jc w:val="both"/>
            </w:pPr>
            <w:r w:rsidRPr="00B0582C">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0E69A5" w:rsidRPr="00B0582C" w:rsidRDefault="000E69A5" w:rsidP="000E69A5">
            <w:pPr>
              <w:keepNext/>
              <w:spacing w:before="40" w:after="40"/>
              <w:jc w:val="both"/>
            </w:pP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t>1 778 656</w:t>
            </w:r>
          </w:p>
          <w:p w:rsidR="000E69A5" w:rsidRPr="00B0582C" w:rsidRDefault="000E69A5" w:rsidP="000E69A5">
            <w:pPr>
              <w:keepNext/>
              <w:spacing w:before="40" w:after="40"/>
              <w:jc w:val="right"/>
              <w:rPr>
                <w:lang w:val="en-US"/>
              </w:rPr>
            </w:pPr>
          </w:p>
        </w:tc>
      </w:tr>
      <w:tr w:rsidR="000E69A5" w:rsidRPr="006A5278" w:rsidTr="000E69A5">
        <w:trPr>
          <w:cantSplit/>
        </w:trPr>
        <w:tc>
          <w:tcPr>
            <w:tcW w:w="7479" w:type="dxa"/>
            <w:shd w:val="clear" w:color="auto" w:fill="auto"/>
          </w:tcPr>
          <w:p w:rsidR="000E69A5" w:rsidRPr="00B0582C" w:rsidRDefault="000E69A5" w:rsidP="000E69A5">
            <w:pPr>
              <w:keepNext/>
              <w:spacing w:before="40" w:after="40"/>
              <w:jc w:val="both"/>
            </w:pPr>
            <w:r w:rsidRPr="00B0582C">
              <w:t xml:space="preserve">Число голосов, приходившихся на голосующие акции общества по вопросам повестки дня общего собрания, определенное с учетом </w:t>
            </w:r>
            <w:r w:rsidRPr="00B0582C">
              <w:lastRenderedPageBreak/>
              <w:t>положений п. 4.20 Положения, утвержденного приказом ФСФР России от 02.02.2012 г. № 12-6/пз-н:</w:t>
            </w:r>
          </w:p>
        </w:tc>
        <w:tc>
          <w:tcPr>
            <w:tcW w:w="1843" w:type="dxa"/>
            <w:shd w:val="clear" w:color="auto" w:fill="auto"/>
            <w:vAlign w:val="bottom"/>
          </w:tcPr>
          <w:p w:rsidR="000E69A5" w:rsidRPr="00B0582C" w:rsidRDefault="000E69A5" w:rsidP="000E69A5">
            <w:pPr>
              <w:keepNext/>
              <w:spacing w:before="40" w:after="40"/>
              <w:jc w:val="right"/>
              <w:rPr>
                <w:lang w:val="en-US"/>
              </w:rPr>
            </w:pPr>
            <w:r w:rsidRPr="00B0582C">
              <w:rPr>
                <w:lang w:val="en-US"/>
              </w:rPr>
              <w:lastRenderedPageBreak/>
              <w:t>1 778 656</w:t>
            </w:r>
          </w:p>
          <w:p w:rsidR="000E69A5" w:rsidRPr="00B0582C" w:rsidRDefault="000E69A5" w:rsidP="000E69A5">
            <w:pPr>
              <w:keepNext/>
              <w:spacing w:before="40" w:after="40"/>
              <w:jc w:val="right"/>
              <w:rPr>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jc w:val="both"/>
              <w:rPr>
                <w:color w:val="FF0000"/>
              </w:rPr>
            </w:pPr>
            <w:r w:rsidRPr="00B0582C">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0E69A5" w:rsidRPr="00B0582C" w:rsidRDefault="000E69A5" w:rsidP="000E69A5">
            <w:pPr>
              <w:keepNext/>
              <w:spacing w:before="40" w:after="40"/>
              <w:jc w:val="right"/>
            </w:pPr>
            <w:r w:rsidRPr="00B0582C">
              <w:rPr>
                <w:lang w:val="en-US"/>
              </w:rPr>
              <w:t xml:space="preserve">1 774 </w:t>
            </w:r>
            <w:r w:rsidRPr="00B0582C">
              <w:t>348</w:t>
            </w:r>
          </w:p>
          <w:p w:rsidR="000E69A5" w:rsidRPr="00B0582C" w:rsidRDefault="000E69A5" w:rsidP="000E69A5">
            <w:pPr>
              <w:keepNext/>
              <w:spacing w:before="40" w:after="40"/>
              <w:jc w:val="right"/>
              <w:rPr>
                <w:color w:val="FF0000"/>
                <w:lang w:val="en-US"/>
              </w:rPr>
            </w:pPr>
          </w:p>
        </w:tc>
      </w:tr>
      <w:tr w:rsidR="000E69A5" w:rsidRPr="00B0582C" w:rsidTr="000E69A5">
        <w:trPr>
          <w:cantSplit/>
        </w:trPr>
        <w:tc>
          <w:tcPr>
            <w:tcW w:w="7479" w:type="dxa"/>
            <w:shd w:val="clear" w:color="auto" w:fill="auto"/>
          </w:tcPr>
          <w:p w:rsidR="000E69A5" w:rsidRPr="00B0582C" w:rsidRDefault="000E69A5" w:rsidP="000E69A5">
            <w:pPr>
              <w:keepNext/>
              <w:spacing w:before="40" w:after="40"/>
              <w:rPr>
                <w:b/>
                <w:bCs/>
              </w:rPr>
            </w:pPr>
            <w:r w:rsidRPr="00B0582C">
              <w:rPr>
                <w:b/>
                <w:bCs/>
              </w:rPr>
              <w:t>Наличие кворума:</w:t>
            </w:r>
          </w:p>
        </w:tc>
        <w:tc>
          <w:tcPr>
            <w:tcW w:w="1843" w:type="dxa"/>
            <w:shd w:val="clear" w:color="auto" w:fill="auto"/>
            <w:vAlign w:val="bottom"/>
          </w:tcPr>
          <w:p w:rsidR="000E69A5" w:rsidRPr="00B0582C" w:rsidRDefault="000E69A5" w:rsidP="000E69A5">
            <w:pPr>
              <w:keepNext/>
              <w:spacing w:before="40" w:after="40"/>
              <w:jc w:val="center"/>
              <w:rPr>
                <w:b/>
                <w:bCs/>
                <w:lang w:val="en-US"/>
              </w:rPr>
            </w:pPr>
            <w:r w:rsidRPr="00B0582C">
              <w:rPr>
                <w:b/>
                <w:bCs/>
                <w:color w:val="FF0000"/>
              </w:rPr>
              <w:t xml:space="preserve">     </w:t>
            </w:r>
            <w:r w:rsidRPr="00B0582C">
              <w:rPr>
                <w:b/>
                <w:bCs/>
                <w:lang w:val="en-US"/>
              </w:rPr>
              <w:t>есть (99,76%)</w:t>
            </w:r>
          </w:p>
        </w:tc>
      </w:tr>
    </w:tbl>
    <w:p w:rsidR="000E69A5" w:rsidRPr="00B0582C" w:rsidRDefault="000E69A5" w:rsidP="000E69A5">
      <w:pPr>
        <w:jc w:val="both"/>
        <w:rPr>
          <w:b/>
        </w:rPr>
      </w:pPr>
      <w:r w:rsidRPr="00B0582C">
        <w:rPr>
          <w:b/>
        </w:rPr>
        <w:lastRenderedPageBreak/>
        <w:t xml:space="preserve">Информация о </w:t>
      </w:r>
      <w:r w:rsidR="00FE6742">
        <w:rPr>
          <w:b/>
        </w:rPr>
        <w:t>наличии кворума по вопросу</w:t>
      </w:r>
      <w:r w:rsidRPr="00B0582C">
        <w:rPr>
          <w:b/>
        </w:rPr>
        <w:t xml:space="preserve"> повестки дня, определенного по данным участия в общем собрании акционеров - владельцев голосующих акций**:</w:t>
      </w:r>
    </w:p>
    <w:p w:rsidR="00055939" w:rsidRPr="00A41B09" w:rsidRDefault="00055939" w:rsidP="00055939">
      <w:pPr>
        <w:overflowPunct w:val="0"/>
        <w:autoSpaceDE w:val="0"/>
        <w:autoSpaceDN w:val="0"/>
        <w:adjustRightInd w:val="0"/>
        <w:spacing w:before="60"/>
        <w:jc w:val="both"/>
      </w:pPr>
      <w:r w:rsidRPr="00A41B09">
        <w:lastRenderedPageBreak/>
        <w:t>Кворум для проведения соб</w:t>
      </w:r>
      <w:r w:rsidR="00FE6742">
        <w:t>рания и принятия решений по</w:t>
      </w:r>
      <w:r w:rsidRPr="00A41B09">
        <w:t xml:space="preserve"> вопросам повестки дня имеется.</w:t>
      </w:r>
    </w:p>
    <w:p w:rsidR="00A41B09" w:rsidRDefault="00A41B09" w:rsidP="00055939">
      <w:pPr>
        <w:spacing w:before="60"/>
        <w:jc w:val="center"/>
        <w:rPr>
          <w:b/>
          <w:u w:val="single"/>
        </w:rPr>
      </w:pPr>
    </w:p>
    <w:p w:rsidR="00055939" w:rsidRPr="00FE0565" w:rsidRDefault="00055939" w:rsidP="00055939">
      <w:pPr>
        <w:spacing w:before="60"/>
        <w:jc w:val="center"/>
        <w:rPr>
          <w:b/>
          <w:u w:val="single"/>
        </w:rPr>
      </w:pPr>
      <w:r w:rsidRPr="00FE0565">
        <w:rPr>
          <w:b/>
          <w:u w:val="single"/>
        </w:rPr>
        <w:t>Повестка дня внеочередного общего собрания акционеров:</w:t>
      </w:r>
    </w:p>
    <w:p w:rsidR="004017EE" w:rsidRPr="00FE0565" w:rsidRDefault="004017EE" w:rsidP="00055939">
      <w:pPr>
        <w:spacing w:before="60"/>
        <w:jc w:val="center"/>
        <w:rPr>
          <w:b/>
          <w:u w:val="single"/>
        </w:rPr>
      </w:pPr>
    </w:p>
    <w:p w:rsidR="00FE6742" w:rsidRPr="000D1C12" w:rsidRDefault="000D1C12" w:rsidP="000D1C12">
      <w:r>
        <w:t xml:space="preserve">1. </w:t>
      </w:r>
      <w:r w:rsidR="00FE6742" w:rsidRPr="000D1C12">
        <w:t>О последующем одобрении крупной сделки.</w:t>
      </w:r>
    </w:p>
    <w:p w:rsidR="00C942DD" w:rsidRDefault="00C942DD" w:rsidP="00055939">
      <w:pPr>
        <w:jc w:val="center"/>
        <w:rPr>
          <w:b/>
          <w:u w:val="single"/>
        </w:rPr>
      </w:pPr>
    </w:p>
    <w:p w:rsidR="00055939" w:rsidRPr="00C259A4" w:rsidRDefault="00055939" w:rsidP="00055939">
      <w:pPr>
        <w:jc w:val="center"/>
        <w:rPr>
          <w:b/>
          <w:u w:val="single"/>
        </w:rPr>
      </w:pPr>
      <w:r w:rsidRPr="00C259A4">
        <w:rPr>
          <w:b/>
          <w:u w:val="single"/>
        </w:rPr>
        <w:t>Результат голосования и формулировка решения</w:t>
      </w:r>
    </w:p>
    <w:p w:rsidR="00055939" w:rsidRPr="00C259A4" w:rsidRDefault="00055939" w:rsidP="00055939">
      <w:pPr>
        <w:jc w:val="center"/>
        <w:rPr>
          <w:b/>
          <w:u w:val="single"/>
        </w:rPr>
      </w:pPr>
      <w:r w:rsidRPr="00C259A4">
        <w:rPr>
          <w:b/>
          <w:u w:val="single"/>
        </w:rPr>
        <w:t>по вопросам повестки дня внеочередного общего собрания акционеров Общества:</w:t>
      </w:r>
    </w:p>
    <w:p w:rsidR="000A7F39" w:rsidRPr="00C259A4" w:rsidRDefault="000A7F39" w:rsidP="00055939">
      <w:pPr>
        <w:jc w:val="center"/>
        <w:rPr>
          <w:b/>
        </w:rPr>
      </w:pPr>
    </w:p>
    <w:p w:rsidR="00DE403E" w:rsidRPr="00C259A4" w:rsidRDefault="00055939" w:rsidP="00D758CB">
      <w:pPr>
        <w:jc w:val="both"/>
        <w:rPr>
          <w:b/>
          <w:caps/>
        </w:rPr>
      </w:pPr>
      <w:r w:rsidRPr="00C259A4">
        <w:rPr>
          <w:b/>
          <w:caps/>
        </w:rPr>
        <w:t xml:space="preserve">По вопросу № 1: </w:t>
      </w:r>
    </w:p>
    <w:p w:rsidR="00E055FD" w:rsidRPr="00E055FD" w:rsidRDefault="00E055FD" w:rsidP="00055939">
      <w:pPr>
        <w:spacing w:before="120" w:after="120"/>
        <w:jc w:val="both"/>
        <w:rPr>
          <w:bCs/>
        </w:rPr>
      </w:pPr>
      <w:r w:rsidRPr="00E055FD">
        <w:rPr>
          <w:bCs/>
        </w:rPr>
        <w:t>1. О последующем одобрении крупной сделки.</w:t>
      </w:r>
    </w:p>
    <w:p w:rsidR="00055939" w:rsidRPr="00C259A4" w:rsidRDefault="00055939" w:rsidP="00055939">
      <w:pPr>
        <w:spacing w:before="120" w:after="120"/>
        <w:jc w:val="both"/>
        <w:rPr>
          <w:b/>
          <w:bCs/>
        </w:rPr>
      </w:pPr>
      <w:r w:rsidRPr="00C259A4">
        <w:rPr>
          <w:b/>
          <w:bCs/>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055939" w:rsidRDefault="00055939">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sz w:val="22"/>
                <w:szCs w:val="22"/>
              </w:rPr>
            </w:pPr>
            <w:r>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sz w:val="22"/>
                <w:szCs w:val="22"/>
              </w:rPr>
            </w:pPr>
            <w:r>
              <w:rPr>
                <w:sz w:val="22"/>
                <w:szCs w:val="22"/>
              </w:rPr>
              <w:t>Сделка с заинтересованностью</w:t>
            </w:r>
          </w:p>
        </w:tc>
      </w:tr>
      <w:tr w:rsidR="00055939" w:rsidTr="001E45E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055939" w:rsidRDefault="00055939">
            <w:pPr>
              <w:overflowPunct w:val="0"/>
              <w:autoSpaceDE w:val="0"/>
              <w:autoSpaceDN w:val="0"/>
              <w:adjustRightInd w:val="0"/>
              <w:jc w:val="center"/>
              <w:rPr>
                <w:b/>
                <w:sz w:val="22"/>
                <w:szCs w:val="22"/>
              </w:rPr>
            </w:pPr>
            <w:r>
              <w:rPr>
                <w:b/>
                <w:sz w:val="22"/>
                <w:szCs w:val="22"/>
              </w:rPr>
              <w:t>%</w:t>
            </w:r>
          </w:p>
        </w:tc>
      </w:tr>
      <w:tr w:rsidR="00055939" w:rsidTr="005925D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Pr="00310CE2" w:rsidRDefault="00310CE2" w:rsidP="00310CE2">
            <w:pPr>
              <w:keepNext/>
              <w:spacing w:before="40" w:after="40"/>
              <w:jc w:val="right"/>
              <w:rPr>
                <w:sz w:val="22"/>
                <w:szCs w:val="22"/>
              </w:rPr>
            </w:pPr>
            <w:r w:rsidRPr="00310CE2">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bCs/>
                <w:sz w:val="22"/>
                <w:szCs w:val="22"/>
              </w:rPr>
            </w:pPr>
            <w:r>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tcPr>
          <w:p w:rsidR="00055939" w:rsidRPr="005925D6" w:rsidRDefault="005925D6">
            <w:pPr>
              <w:overflowPunct w:val="0"/>
              <w:autoSpaceDE w:val="0"/>
              <w:autoSpaceDN w:val="0"/>
              <w:adjustRightInd w:val="0"/>
              <w:jc w:val="right"/>
              <w:rPr>
                <w:bCs/>
                <w:sz w:val="22"/>
                <w:szCs w:val="22"/>
                <w:lang w:val="en-US"/>
              </w:rPr>
            </w:pPr>
            <w:r>
              <w:rPr>
                <w:bCs/>
                <w:sz w:val="22"/>
                <w:szCs w:val="22"/>
                <w:lang w:val="en-US"/>
              </w:rPr>
              <w:t>-</w:t>
            </w:r>
          </w:p>
        </w:tc>
        <w:tc>
          <w:tcPr>
            <w:tcW w:w="1594" w:type="dxa"/>
            <w:tcBorders>
              <w:top w:val="single" w:sz="6" w:space="0" w:color="000000"/>
              <w:left w:val="single" w:sz="6" w:space="0" w:color="000000"/>
              <w:bottom w:val="single" w:sz="6" w:space="0" w:color="000000"/>
              <w:right w:val="single" w:sz="6" w:space="0" w:color="000000"/>
            </w:tcBorders>
          </w:tcPr>
          <w:p w:rsidR="00055939" w:rsidRPr="005925D6" w:rsidRDefault="005925D6">
            <w:pPr>
              <w:overflowPunct w:val="0"/>
              <w:autoSpaceDE w:val="0"/>
              <w:autoSpaceDN w:val="0"/>
              <w:adjustRightInd w:val="0"/>
              <w:jc w:val="right"/>
              <w:rPr>
                <w:bCs/>
                <w:sz w:val="22"/>
                <w:szCs w:val="22"/>
                <w:lang w:val="en-US"/>
              </w:rPr>
            </w:pPr>
            <w:r>
              <w:rPr>
                <w:bCs/>
                <w:sz w:val="22"/>
                <w:szCs w:val="22"/>
                <w:lang w:val="en-US"/>
              </w:rPr>
              <w:t>-</w:t>
            </w:r>
          </w:p>
        </w:tc>
      </w:tr>
      <w:tr w:rsidR="00055939" w:rsidTr="005925D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rsidR="00055939" w:rsidRPr="005925D6" w:rsidRDefault="005925D6">
            <w:pPr>
              <w:overflowPunct w:val="0"/>
              <w:autoSpaceDE w:val="0"/>
              <w:autoSpaceDN w:val="0"/>
              <w:adjustRightInd w:val="0"/>
              <w:jc w:val="right"/>
              <w:rPr>
                <w:sz w:val="22"/>
                <w:szCs w:val="22"/>
                <w:lang w:val="en-US"/>
              </w:rPr>
            </w:pPr>
            <w:r>
              <w:rPr>
                <w:sz w:val="22"/>
                <w:szCs w:val="22"/>
                <w:lang w:val="en-US"/>
              </w:rPr>
              <w:t>-</w:t>
            </w:r>
          </w:p>
        </w:tc>
        <w:tc>
          <w:tcPr>
            <w:tcW w:w="1594" w:type="dxa"/>
            <w:tcBorders>
              <w:top w:val="single" w:sz="6" w:space="0" w:color="000000"/>
              <w:left w:val="single" w:sz="6" w:space="0" w:color="000000"/>
              <w:bottom w:val="single" w:sz="6" w:space="0" w:color="000000"/>
              <w:right w:val="single" w:sz="6" w:space="0" w:color="000000"/>
            </w:tcBorders>
          </w:tcPr>
          <w:p w:rsidR="00055939" w:rsidRPr="005925D6" w:rsidRDefault="005925D6">
            <w:pPr>
              <w:overflowPunct w:val="0"/>
              <w:autoSpaceDE w:val="0"/>
              <w:autoSpaceDN w:val="0"/>
              <w:adjustRightInd w:val="0"/>
              <w:jc w:val="right"/>
              <w:rPr>
                <w:sz w:val="22"/>
                <w:szCs w:val="22"/>
                <w:lang w:val="en-US"/>
              </w:rPr>
            </w:pPr>
            <w:r>
              <w:rPr>
                <w:sz w:val="22"/>
                <w:szCs w:val="22"/>
                <w:lang w:val="en-US"/>
              </w:rPr>
              <w:t>-</w:t>
            </w:r>
          </w:p>
        </w:tc>
      </w:tr>
      <w:tr w:rsidR="00055939" w:rsidTr="005925D6">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keepNext/>
              <w:overflowPunct w:val="0"/>
              <w:autoSpaceDE w:val="0"/>
              <w:autoSpaceDN w:val="0"/>
              <w:adjustRightInd w:val="0"/>
              <w:outlineLvl w:val="2"/>
              <w:rPr>
                <w:sz w:val="22"/>
                <w:szCs w:val="22"/>
              </w:rPr>
            </w:pPr>
            <w:r>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055939" w:rsidRDefault="00055939">
            <w:pPr>
              <w:overflowPunct w:val="0"/>
              <w:autoSpaceDE w:val="0"/>
              <w:autoSpaceDN w:val="0"/>
              <w:adjustRightInd w:val="0"/>
              <w:jc w:val="right"/>
              <w:rPr>
                <w:sz w:val="22"/>
                <w:szCs w:val="22"/>
              </w:rPr>
            </w:pPr>
            <w:r>
              <w:rPr>
                <w:sz w:val="22"/>
                <w:szCs w:val="22"/>
              </w:rPr>
              <w:t>0</w:t>
            </w:r>
          </w:p>
        </w:tc>
        <w:tc>
          <w:tcPr>
            <w:tcW w:w="1832" w:type="dxa"/>
            <w:tcBorders>
              <w:top w:val="single" w:sz="6" w:space="0" w:color="000000"/>
              <w:left w:val="single" w:sz="6" w:space="0" w:color="000000"/>
              <w:bottom w:val="single" w:sz="6" w:space="0" w:color="000000"/>
              <w:right w:val="single" w:sz="6" w:space="0" w:color="000000"/>
            </w:tcBorders>
          </w:tcPr>
          <w:p w:rsidR="00055939" w:rsidRPr="005925D6" w:rsidRDefault="005925D6">
            <w:pPr>
              <w:overflowPunct w:val="0"/>
              <w:autoSpaceDE w:val="0"/>
              <w:autoSpaceDN w:val="0"/>
              <w:adjustRightInd w:val="0"/>
              <w:jc w:val="right"/>
              <w:rPr>
                <w:sz w:val="22"/>
                <w:szCs w:val="22"/>
                <w:lang w:val="en-US"/>
              </w:rPr>
            </w:pPr>
            <w:r>
              <w:rPr>
                <w:sz w:val="22"/>
                <w:szCs w:val="22"/>
                <w:lang w:val="en-US"/>
              </w:rPr>
              <w:t>-</w:t>
            </w:r>
          </w:p>
        </w:tc>
        <w:tc>
          <w:tcPr>
            <w:tcW w:w="1594" w:type="dxa"/>
            <w:tcBorders>
              <w:top w:val="single" w:sz="6" w:space="0" w:color="000000"/>
              <w:left w:val="single" w:sz="6" w:space="0" w:color="000000"/>
              <w:bottom w:val="single" w:sz="6" w:space="0" w:color="000000"/>
              <w:right w:val="single" w:sz="6" w:space="0" w:color="000000"/>
            </w:tcBorders>
          </w:tcPr>
          <w:p w:rsidR="00055939" w:rsidRPr="005925D6" w:rsidRDefault="005925D6">
            <w:pPr>
              <w:overflowPunct w:val="0"/>
              <w:autoSpaceDE w:val="0"/>
              <w:autoSpaceDN w:val="0"/>
              <w:adjustRightInd w:val="0"/>
              <w:jc w:val="right"/>
              <w:rPr>
                <w:sz w:val="22"/>
                <w:szCs w:val="22"/>
                <w:lang w:val="en-US"/>
              </w:rPr>
            </w:pPr>
            <w:r>
              <w:rPr>
                <w:sz w:val="22"/>
                <w:szCs w:val="22"/>
                <w:lang w:val="en-US"/>
              </w:rPr>
              <w:t>-</w:t>
            </w:r>
          </w:p>
        </w:tc>
      </w:tr>
    </w:tbl>
    <w:p w:rsidR="00055939" w:rsidRDefault="00055939" w:rsidP="00055939">
      <w:pPr>
        <w:tabs>
          <w:tab w:val="left" w:pos="9000"/>
        </w:tabs>
        <w:rPr>
          <w:b/>
          <w:bCs/>
          <w:sz w:val="20"/>
          <w:szCs w:val="20"/>
        </w:rPr>
      </w:pPr>
    </w:p>
    <w:p w:rsidR="00055939" w:rsidRPr="00C259A4" w:rsidRDefault="00055939" w:rsidP="00055939">
      <w:pPr>
        <w:tabs>
          <w:tab w:val="left" w:pos="9000"/>
        </w:tabs>
        <w:rPr>
          <w:b/>
          <w:bCs/>
        </w:rPr>
      </w:pPr>
      <w:r w:rsidRPr="00C259A4">
        <w:rPr>
          <w:b/>
          <w:bCs/>
        </w:rPr>
        <w:t>Кворум для принятия решения по данному вопросу имеется.</w:t>
      </w:r>
    </w:p>
    <w:p w:rsidR="00055939" w:rsidRDefault="00055939" w:rsidP="00055939">
      <w:pPr>
        <w:tabs>
          <w:tab w:val="left" w:pos="2660"/>
          <w:tab w:val="left" w:pos="10704"/>
        </w:tabs>
        <w:spacing w:before="120"/>
        <w:jc w:val="both"/>
      </w:pPr>
      <w:r w:rsidRPr="00C259A4">
        <w:rPr>
          <w:b/>
        </w:rPr>
        <w:t>Принято решение</w:t>
      </w:r>
      <w:r w:rsidRPr="00C259A4">
        <w:t xml:space="preserve">: </w:t>
      </w:r>
    </w:p>
    <w:p w:rsidR="00BF2220" w:rsidRPr="00381876" w:rsidRDefault="006139A9" w:rsidP="00BF2220">
      <w:pPr>
        <w:jc w:val="both"/>
      </w:pPr>
      <w:r>
        <w:t>Одобрить крупную сделку - д</w:t>
      </w:r>
      <w:r w:rsidRPr="00381876">
        <w:t xml:space="preserve">ополнительное соглашение 2 от 09.12.2016 г. к Договору поручительства юридического лица №2-15/ЗП-1Ф.14 от 31.03.2015г., заключенное между </w:t>
      </w:r>
      <w:r w:rsidRPr="00381876">
        <w:rPr>
          <w:b/>
        </w:rPr>
        <w:t xml:space="preserve">АО «Сибнефтемаш» </w:t>
      </w:r>
      <w:r w:rsidRPr="00381876">
        <w:t xml:space="preserve">и </w:t>
      </w:r>
      <w:r w:rsidRPr="00381876">
        <w:rPr>
          <w:b/>
        </w:rPr>
        <w:t>ПАО Банк «Финансовая Корпорация Открытие»</w:t>
      </w:r>
      <w:r w:rsidRPr="00381876">
        <w:t xml:space="preserve"> в качестве обеспечения исполнения обязательств </w:t>
      </w:r>
      <w:r w:rsidRPr="00381876">
        <w:rPr>
          <w:b/>
        </w:rPr>
        <w:t>ПАО «Томскгазстрой»</w:t>
      </w:r>
      <w:r w:rsidRPr="00381876">
        <w:t xml:space="preserve"> по Соглашению о предоставлении банковских гарантий №2-15/СБГ-1Ф.14 от 31.03.2015г (далее - Соглашение 1), на следующих условиях:</w:t>
      </w:r>
    </w:p>
    <w:p w:rsidR="006139A9" w:rsidRPr="00381876" w:rsidRDefault="006139A9" w:rsidP="006139A9">
      <w:pPr>
        <w:spacing w:line="276" w:lineRule="auto"/>
        <w:jc w:val="both"/>
      </w:pPr>
      <w:r w:rsidRPr="00381876">
        <w:rPr>
          <w:u w:val="single"/>
        </w:rPr>
        <w:t>Стороны сделки:</w:t>
      </w:r>
    </w:p>
    <w:p w:rsidR="006139A9" w:rsidRPr="00381876" w:rsidRDefault="006139A9" w:rsidP="00BF2220">
      <w:pPr>
        <w:pStyle w:val="af"/>
        <w:spacing w:after="0" w:line="276" w:lineRule="auto"/>
        <w:ind w:left="0"/>
        <w:jc w:val="both"/>
      </w:pPr>
      <w:r w:rsidRPr="00381876">
        <w:rPr>
          <w:b/>
        </w:rPr>
        <w:t>Банк:</w:t>
      </w:r>
      <w:r w:rsidRPr="00381876">
        <w:t xml:space="preserve"> Публичное акционерное общество Банк «Финансовая Корпорация Открытие»;</w:t>
      </w:r>
    </w:p>
    <w:p w:rsidR="006139A9" w:rsidRPr="00381876" w:rsidRDefault="006139A9" w:rsidP="00BF2220">
      <w:pPr>
        <w:pStyle w:val="af"/>
        <w:spacing w:after="0" w:line="276" w:lineRule="auto"/>
        <w:ind w:left="0"/>
        <w:jc w:val="both"/>
      </w:pPr>
      <w:r w:rsidRPr="00381876">
        <w:rPr>
          <w:b/>
        </w:rPr>
        <w:t>Принципал:</w:t>
      </w:r>
      <w:r w:rsidRPr="00381876">
        <w:t xml:space="preserve"> Публичное акционерное общество «Томскгазстрой»;</w:t>
      </w:r>
    </w:p>
    <w:p w:rsidR="006139A9" w:rsidRPr="00381876" w:rsidRDefault="006139A9" w:rsidP="006139A9">
      <w:pPr>
        <w:shd w:val="clear" w:color="auto" w:fill="FFFFFF"/>
        <w:spacing w:line="276" w:lineRule="auto"/>
        <w:jc w:val="both"/>
      </w:pPr>
      <w:r w:rsidRPr="00381876">
        <w:rPr>
          <w:b/>
        </w:rPr>
        <w:t>Поручитель:</w:t>
      </w:r>
      <w:r w:rsidRPr="00381876">
        <w:t xml:space="preserve"> Акционерное общество </w:t>
      </w:r>
      <w:r w:rsidRPr="00381876">
        <w:rPr>
          <w:color w:val="000000"/>
          <w:spacing w:val="-4"/>
        </w:rPr>
        <w:t>«Сибнефтемаш».</w:t>
      </w:r>
    </w:p>
    <w:p w:rsidR="006139A9" w:rsidRPr="00381876" w:rsidRDefault="006139A9" w:rsidP="006139A9">
      <w:pPr>
        <w:pStyle w:val="ac"/>
        <w:spacing w:before="0" w:beforeAutospacing="0" w:after="0" w:afterAutospacing="0" w:line="360" w:lineRule="auto"/>
        <w:rPr>
          <w:u w:val="single"/>
        </w:rPr>
      </w:pPr>
      <w:r w:rsidRPr="00381876">
        <w:rPr>
          <w:u w:val="single"/>
        </w:rPr>
        <w:t>Существенные условия сделки:</w:t>
      </w:r>
    </w:p>
    <w:p w:rsidR="006139A9" w:rsidRPr="00381876" w:rsidRDefault="006139A9" w:rsidP="006139A9">
      <w:pPr>
        <w:jc w:val="both"/>
        <w:rPr>
          <w:rStyle w:val="Iniiaiieoeoo"/>
          <w:b/>
        </w:rPr>
      </w:pPr>
      <w:r w:rsidRPr="00381876">
        <w:t>– Банк выдает гарантии в рамках Соглашения в пределах</w:t>
      </w:r>
      <w:r w:rsidRPr="00381876">
        <w:rPr>
          <w:rStyle w:val="Iniiaiieoeoo"/>
        </w:rPr>
        <w:t xml:space="preserve"> </w:t>
      </w:r>
      <w:r w:rsidRPr="00381876">
        <w:rPr>
          <w:rStyle w:val="Iniiaiieoeoo"/>
          <w:b/>
        </w:rPr>
        <w:t xml:space="preserve"> 220 000 000 </w:t>
      </w:r>
      <w:r w:rsidRPr="00381876">
        <w:rPr>
          <w:rStyle w:val="Iniiaiieoeoo"/>
        </w:rPr>
        <w:t>(Двухсот двадцати миллионов)</w:t>
      </w:r>
      <w:r w:rsidRPr="00381876">
        <w:rPr>
          <w:rStyle w:val="Iniiaiieoeoo"/>
          <w:b/>
        </w:rPr>
        <w:t xml:space="preserve"> рублей </w:t>
      </w:r>
      <w:r w:rsidRPr="00381876">
        <w:rPr>
          <w:rStyle w:val="Iniiaiieoeoo"/>
        </w:rPr>
        <w:t>(далее – Лимит),</w:t>
      </w:r>
      <w:r w:rsidRPr="00381876">
        <w:rPr>
          <w:rStyle w:val="Iniiaiieoeoo"/>
          <w:b/>
        </w:rPr>
        <w:t xml:space="preserve"> в том числе:</w:t>
      </w:r>
    </w:p>
    <w:p w:rsidR="006139A9" w:rsidRPr="00381876" w:rsidRDefault="006139A9" w:rsidP="001403BE">
      <w:pPr>
        <w:jc w:val="both"/>
        <w:rPr>
          <w:rStyle w:val="Iniiaiieoeoo"/>
          <w:i/>
        </w:rPr>
      </w:pPr>
      <w:r w:rsidRPr="00381876">
        <w:rPr>
          <w:rStyle w:val="Iniiaiieoeoo"/>
          <w:b/>
        </w:rPr>
        <w:t xml:space="preserve">- гарантии исполнения  основного обязательства - </w:t>
      </w:r>
      <w:r w:rsidRPr="00381876">
        <w:rPr>
          <w:rStyle w:val="Iniiaiieoeoo"/>
        </w:rPr>
        <w:t xml:space="preserve">в </w:t>
      </w:r>
      <w:r w:rsidRPr="00381876">
        <w:rPr>
          <w:rStyle w:val="Iniiaiieoeoo"/>
          <w:i/>
        </w:rPr>
        <w:t>пределах 145 000 000 (Ста сорока пяти миллионов) рублей,</w:t>
      </w:r>
    </w:p>
    <w:p w:rsidR="006139A9" w:rsidRPr="00381876" w:rsidRDefault="006139A9" w:rsidP="001403BE">
      <w:pPr>
        <w:jc w:val="both"/>
        <w:rPr>
          <w:rStyle w:val="Iniiaiieoeoo"/>
          <w:i/>
        </w:rPr>
      </w:pPr>
      <w:r w:rsidRPr="00381876">
        <w:rPr>
          <w:rStyle w:val="Iniiaiieoeoo"/>
        </w:rPr>
        <w:t xml:space="preserve">- </w:t>
      </w:r>
      <w:r w:rsidRPr="00381876">
        <w:rPr>
          <w:rStyle w:val="Iniiaiieoeoo"/>
          <w:b/>
        </w:rPr>
        <w:t>гарантии исполнения гарантийных обязательств</w:t>
      </w:r>
      <w:r w:rsidRPr="00381876">
        <w:rPr>
          <w:rStyle w:val="Iniiaiieoeoo"/>
        </w:rPr>
        <w:t xml:space="preserve"> по Основному обязательству </w:t>
      </w:r>
      <w:r w:rsidRPr="00381876">
        <w:rPr>
          <w:rStyle w:val="Iniiaiieoeoo"/>
          <w:i/>
        </w:rPr>
        <w:t>– в пределах  75 000 000 (Семидесяти пяти миллионов) рублей.</w:t>
      </w:r>
    </w:p>
    <w:p w:rsidR="006139A9" w:rsidRPr="00381876" w:rsidRDefault="006139A9" w:rsidP="006139A9">
      <w:pPr>
        <w:jc w:val="both"/>
      </w:pPr>
      <w:r w:rsidRPr="00381876">
        <w:t xml:space="preserve">- срок действия лимита: </w:t>
      </w:r>
      <w:r w:rsidRPr="00381876">
        <w:rPr>
          <w:b/>
        </w:rPr>
        <w:t>с «31» марта 2015 года по «28» февраля 2021 года включительно</w:t>
      </w:r>
      <w:r w:rsidRPr="00381876">
        <w:t>, в том числе:</w:t>
      </w:r>
    </w:p>
    <w:p w:rsidR="006139A9" w:rsidRPr="00381876" w:rsidRDefault="006139A9" w:rsidP="001403BE">
      <w:pPr>
        <w:jc w:val="both"/>
      </w:pPr>
      <w:r w:rsidRPr="00381876">
        <w:t xml:space="preserve">- гарантии </w:t>
      </w:r>
      <w:r w:rsidR="001403BE" w:rsidRPr="00381876">
        <w:t>исполнения основного</w:t>
      </w:r>
      <w:r w:rsidRPr="00381876">
        <w:t xml:space="preserve"> обязательства – по 17.12.2017г. включительно, </w:t>
      </w:r>
    </w:p>
    <w:p w:rsidR="006139A9" w:rsidRPr="00381876" w:rsidRDefault="001403BE" w:rsidP="001403BE">
      <w:pPr>
        <w:jc w:val="both"/>
      </w:pPr>
      <w:r w:rsidRPr="001403BE">
        <w:lastRenderedPageBreak/>
        <w:t xml:space="preserve">- </w:t>
      </w:r>
      <w:r w:rsidR="006139A9" w:rsidRPr="00381876">
        <w:t>включая гарантию № 2-15/СБГ/1-1Ф.14 от 21.05.15г. в сумме 65 295 563,72 руб. –с 21.05.15г.  по 30.10.16г. включительно,</w:t>
      </w:r>
    </w:p>
    <w:p w:rsidR="006139A9" w:rsidRPr="00381876" w:rsidRDefault="001403BE" w:rsidP="001403BE">
      <w:pPr>
        <w:jc w:val="both"/>
      </w:pPr>
      <w:r w:rsidRPr="001403BE">
        <w:t xml:space="preserve">- </w:t>
      </w:r>
      <w:r w:rsidR="006139A9" w:rsidRPr="00381876">
        <w:t xml:space="preserve"> гарантию № 2-15/СБГ/2-1Ф.14 от 21.05.15г. в сумме 76 503 027,81руб. по 17.12.2017г. включительно</w:t>
      </w:r>
      <w:r>
        <w:t>,</w:t>
      </w:r>
      <w:r w:rsidR="006139A9" w:rsidRPr="00381876">
        <w:t xml:space="preserve"> </w:t>
      </w:r>
    </w:p>
    <w:p w:rsidR="006139A9" w:rsidRPr="00381876" w:rsidRDefault="001403BE" w:rsidP="001403BE">
      <w:pPr>
        <w:jc w:val="both"/>
      </w:pPr>
      <w:r>
        <w:t xml:space="preserve">- </w:t>
      </w:r>
      <w:r w:rsidR="006139A9" w:rsidRPr="00381876">
        <w:t>гарантию № 2-15/СБГ/3-1Ф.14 от 09.12.2016г. в сумме 65 295 563,72 руб. – с 09.12.16г</w:t>
      </w:r>
      <w:r>
        <w:t>.   по 02.12.17г. включительно.</w:t>
      </w:r>
    </w:p>
    <w:p w:rsidR="006139A9" w:rsidRPr="00381876" w:rsidRDefault="001403BE" w:rsidP="001403BE">
      <w:pPr>
        <w:jc w:val="both"/>
      </w:pPr>
      <w:r>
        <w:t>- с</w:t>
      </w:r>
      <w:r w:rsidR="006139A9" w:rsidRPr="00381876">
        <w:t xml:space="preserve">рок действия любой из Гарантий, выдаваемых в рамках Соглашения не должен превышать </w:t>
      </w:r>
      <w:r>
        <w:t xml:space="preserve"> срока действия Лимита гарантий,</w:t>
      </w:r>
    </w:p>
    <w:p w:rsidR="006139A9" w:rsidRPr="00381876" w:rsidRDefault="006139A9" w:rsidP="001403BE">
      <w:pPr>
        <w:pStyle w:val="af"/>
        <w:spacing w:after="0"/>
        <w:ind w:left="0"/>
        <w:jc w:val="both"/>
      </w:pPr>
      <w:r w:rsidRPr="00381876">
        <w:t xml:space="preserve">- гарантии выдаются в пользу </w:t>
      </w:r>
      <w:r w:rsidRPr="00381876">
        <w:rPr>
          <w:b/>
        </w:rPr>
        <w:t>Открытого акционерного общества «Томскгазпром»</w:t>
      </w:r>
      <w:r w:rsidRPr="00381876">
        <w:t xml:space="preserve"> (адрес места нахождения: 634009, г. Томск, ул. Большая Подгорная, дом 73, ИНН 7019035722/КПП 997250001, ОГРН 1027000905140, р/с 40702810200000010515 в Филиале ГПБ (ОАО) в г. Томске, к/с 30101810800000000758), именуемого в дальнейшем </w:t>
      </w:r>
      <w:r w:rsidRPr="00381876">
        <w:rPr>
          <w:b/>
        </w:rPr>
        <w:t>«Бенефициар»</w:t>
      </w:r>
      <w:r w:rsidRPr="00381876">
        <w:t>. Гарант обязуется уплатить Бенефициару по его письменному требованию денежную сумму в случае неисполнения Должником перед Бенефициаром своих обязательств вытекающих из договора, заключенного между Принципалом и Бенефициаром, в обеспечение исполнения обязательств Принципала по которым предполагается выдача Банком Гарантий (Основное обязательство):</w:t>
      </w:r>
    </w:p>
    <w:p w:rsidR="006139A9" w:rsidRPr="00381876" w:rsidRDefault="006139A9" w:rsidP="001403BE">
      <w:pPr>
        <w:pStyle w:val="af"/>
        <w:spacing w:after="0"/>
        <w:ind w:left="0"/>
        <w:jc w:val="both"/>
      </w:pPr>
      <w:r w:rsidRPr="00381876">
        <w:t xml:space="preserve">1).  Договор №2258/14 строительного подряда (твердая цена строительства) от «18» ноября 2014 года  на строительство объекта: «Магистральный продуктопровод «Мыльджинское ГКМ – Казанское НГКМ – г.Куйбышев» 1-й этап», заключенный в соответствии с  Протоколом №1/1540/ТомскГП/14-2.1-3869/24.09.14/ЗЭПГОС заседания Комиссии по подведению итогов открытого Запроса предложений №1540/ТомскГП/14-2.1-3869/24.09.14/ЗЭПГОС  от «29» октября 2014г. </w:t>
      </w:r>
    </w:p>
    <w:p w:rsidR="006139A9" w:rsidRPr="00381876" w:rsidRDefault="006139A9" w:rsidP="001403BE">
      <w:pPr>
        <w:pStyle w:val="af"/>
        <w:spacing w:after="0"/>
        <w:ind w:left="0"/>
        <w:jc w:val="both"/>
      </w:pPr>
      <w:r w:rsidRPr="00381876">
        <w:t xml:space="preserve">2).  Договор №2271/14 </w:t>
      </w:r>
      <w:r w:rsidR="001403BE" w:rsidRPr="00381876">
        <w:t>строительного подряда</w:t>
      </w:r>
      <w:r w:rsidRPr="00381876">
        <w:t xml:space="preserve"> (твердая цена строительства) от «18» ноября 2014 года на строительство объекта: «Магистральный продуктопровод «Мыльджинское ГКМ – Казанское НГКМ – г.Куйбышев» 2-й этап»,  заключенный в соответствии с  Протоколом №1/1541/ТомскГП/14-2.1-3914/24.09.14/ЗЭПГОС заседания Комиссии по подведению итогов открытого Запроса предложений №1541/ТомскГП/14-2.1-3914/24.09.14/ЗЭПГОС  от «29» октября 2014г.</w:t>
      </w:r>
    </w:p>
    <w:p w:rsidR="006139A9" w:rsidRPr="00381876" w:rsidRDefault="006139A9" w:rsidP="001403BE">
      <w:pPr>
        <w:pStyle w:val="af"/>
        <w:spacing w:after="0"/>
        <w:ind w:left="0"/>
        <w:jc w:val="both"/>
      </w:pPr>
      <w:r w:rsidRPr="00381876">
        <w:t>а Должник обязуется, в случае выполнения Гарантом своих обязательств по выданным Гарантиям, возместить Гаранту все суммы, выплаченные Гарантом в пользу Бенефициара по Гарантиям, а также комиссии за перевод, и прочие расходы, понесенные Гарантом по исполнению обязательств по Гарантии, и уплатить комиссию за предоставленные Гарантии;</w:t>
      </w:r>
    </w:p>
    <w:p w:rsidR="006139A9" w:rsidRPr="00381876" w:rsidRDefault="006139A9" w:rsidP="001403BE">
      <w:pPr>
        <w:pStyle w:val="3"/>
        <w:spacing w:after="0"/>
        <w:ind w:left="0"/>
        <w:jc w:val="both"/>
        <w:rPr>
          <w:sz w:val="24"/>
          <w:szCs w:val="24"/>
        </w:rPr>
      </w:pPr>
      <w:r w:rsidRPr="00381876">
        <w:rPr>
          <w:sz w:val="24"/>
          <w:szCs w:val="24"/>
        </w:rPr>
        <w:t>-комиссия за предоставление каждой гарантии в размере:</w:t>
      </w:r>
    </w:p>
    <w:p w:rsidR="006139A9" w:rsidRPr="00381876" w:rsidRDefault="006139A9" w:rsidP="006139A9">
      <w:pPr>
        <w:pStyle w:val="3"/>
        <w:spacing w:after="0"/>
        <w:ind w:left="0" w:firstLine="709"/>
        <w:jc w:val="both"/>
        <w:rPr>
          <w:sz w:val="24"/>
          <w:szCs w:val="24"/>
        </w:rPr>
      </w:pPr>
      <w:r w:rsidRPr="00381876">
        <w:rPr>
          <w:sz w:val="24"/>
          <w:szCs w:val="24"/>
        </w:rPr>
        <w:t>3% (Три) процента  годовых на сумму каждой Гарантии исполнения основного обязательства,</w:t>
      </w:r>
    </w:p>
    <w:p w:rsidR="006139A9" w:rsidRPr="00381876" w:rsidRDefault="006139A9" w:rsidP="006139A9">
      <w:pPr>
        <w:pStyle w:val="3"/>
        <w:spacing w:after="0"/>
        <w:ind w:left="0" w:firstLine="709"/>
        <w:jc w:val="both"/>
        <w:rPr>
          <w:sz w:val="24"/>
          <w:szCs w:val="24"/>
        </w:rPr>
      </w:pPr>
      <w:r w:rsidRPr="00381876">
        <w:rPr>
          <w:sz w:val="24"/>
          <w:szCs w:val="24"/>
        </w:rPr>
        <w:t>3,5% (Три целых пять десятых) процента годовых на сумму каждой Гарантии исполнения гарантийных обязательств по Основному обязательству,</w:t>
      </w:r>
    </w:p>
    <w:p w:rsidR="006139A9" w:rsidRPr="00381876" w:rsidRDefault="006139A9" w:rsidP="006139A9">
      <w:pPr>
        <w:pStyle w:val="3"/>
        <w:spacing w:after="0"/>
        <w:ind w:left="0" w:firstLine="709"/>
        <w:jc w:val="both"/>
        <w:rPr>
          <w:sz w:val="24"/>
          <w:szCs w:val="24"/>
        </w:rPr>
      </w:pPr>
      <w:r w:rsidRPr="00381876">
        <w:rPr>
          <w:sz w:val="24"/>
          <w:szCs w:val="24"/>
        </w:rPr>
        <w:t>размер которой может быть изменен Гарантом в одностороннем порядке в соответствии с Соглашением. Указанная комиссия начисляется за период с даты вступления Гарантии в силу по дату ее фактического прекращения (включительно). Если дата окончания Срока Гарантии приходится на нерабочий день, то комиссия начисляется по ближайший следующий за ним рабочий день включительно. При расчете комиссии число дней в месяце и в году принимается равным календарному.</w:t>
      </w:r>
    </w:p>
    <w:p w:rsidR="006139A9" w:rsidRPr="00381876" w:rsidRDefault="006139A9" w:rsidP="006139A9">
      <w:pPr>
        <w:pStyle w:val="3"/>
        <w:spacing w:after="0"/>
        <w:ind w:left="0" w:firstLine="709"/>
        <w:jc w:val="both"/>
        <w:rPr>
          <w:sz w:val="24"/>
          <w:szCs w:val="24"/>
        </w:rPr>
      </w:pPr>
      <w:r w:rsidRPr="00381876">
        <w:rPr>
          <w:sz w:val="24"/>
          <w:szCs w:val="24"/>
        </w:rPr>
        <w:t>Платежи в счет уплаты комиссии производятся ежемесячно не позднее последнего рабочего дня каждого календарного месяца.</w:t>
      </w:r>
    </w:p>
    <w:p w:rsidR="006139A9" w:rsidRPr="00381876" w:rsidRDefault="006139A9" w:rsidP="006139A9">
      <w:pPr>
        <w:pStyle w:val="3"/>
        <w:spacing w:after="0"/>
        <w:ind w:left="0" w:firstLine="709"/>
        <w:jc w:val="both"/>
        <w:rPr>
          <w:sz w:val="24"/>
          <w:szCs w:val="24"/>
        </w:rPr>
      </w:pPr>
      <w:r w:rsidRPr="00381876">
        <w:rPr>
          <w:sz w:val="24"/>
          <w:szCs w:val="24"/>
        </w:rPr>
        <w:t>При досрочном возврате Гарантий, предоставленных в рамках настоящего Соглашения, но не вступивших в силу,  взимается комиссия в размере 3 000 (Три тысячи) рублей за каждую предоставленную Гарантию. Уплата указанной комиссии производится не позднее 2 (Двух) рабочих дней с даты  передачи Гарантии Банку.</w:t>
      </w:r>
    </w:p>
    <w:p w:rsidR="006139A9" w:rsidRPr="00381876" w:rsidRDefault="006139A9" w:rsidP="006139A9">
      <w:pPr>
        <w:pStyle w:val="3"/>
        <w:spacing w:after="0"/>
        <w:ind w:left="0" w:firstLine="709"/>
        <w:jc w:val="both"/>
        <w:rPr>
          <w:sz w:val="24"/>
          <w:szCs w:val="24"/>
        </w:rPr>
      </w:pPr>
      <w:r w:rsidRPr="00381876">
        <w:rPr>
          <w:sz w:val="24"/>
          <w:szCs w:val="24"/>
        </w:rPr>
        <w:lastRenderedPageBreak/>
        <w:t>Уплата комиссий, возмещение Банку всех сумм, выплаченных Банком в пользу Бенефициара по Гарантии, уплата комиссий за Дополнительные услуги,  уплата  иных платежей, предусмотренных Соглашением, осуществляется путем списания Банком в даты наступления сроков платежей соответствующих сумм задолженности Принципала с его счетов в Банке, открытых в валюте платежа.</w:t>
      </w:r>
    </w:p>
    <w:p w:rsidR="006139A9" w:rsidRPr="00381876" w:rsidRDefault="006139A9" w:rsidP="006139A9">
      <w:pPr>
        <w:pStyle w:val="3"/>
        <w:spacing w:after="0"/>
        <w:ind w:left="0" w:firstLine="709"/>
        <w:jc w:val="both"/>
        <w:rPr>
          <w:bCs/>
          <w:sz w:val="24"/>
          <w:szCs w:val="24"/>
        </w:rPr>
      </w:pPr>
      <w:r w:rsidRPr="00381876">
        <w:rPr>
          <w:bCs/>
          <w:sz w:val="24"/>
          <w:szCs w:val="24"/>
        </w:rPr>
        <w:t>Гарант вправе в одностороннем внесудебном порядке увеличить размер комиссии за выдачу Гарантии, в том числе, но не ограничиваясь,  в связи с изменением ставки рефинансирования ЦБ РФ, и/или ключевой ставки ЦБ РФ,  и/или ставок кредитования на межбанковском рынке. Гарант также  вправе увеличить размер комиссии по соответствующей Гарантии, предоставленной в рамках Соглашения, на 1 (Один) процентный пункт в случае невыполнения Принципалом обязательств:</w:t>
      </w:r>
    </w:p>
    <w:p w:rsidR="006139A9" w:rsidRPr="00381876" w:rsidRDefault="006139A9" w:rsidP="003C29D3">
      <w:pPr>
        <w:pStyle w:val="af"/>
        <w:spacing w:after="0"/>
        <w:ind w:left="0" w:firstLine="708"/>
        <w:jc w:val="both"/>
        <w:rPr>
          <w:rFonts w:eastAsia="Calibri"/>
        </w:rPr>
      </w:pPr>
      <w:r w:rsidRPr="00381876">
        <w:rPr>
          <w:b/>
        </w:rPr>
        <w:t xml:space="preserve">- </w:t>
      </w:r>
      <w:r w:rsidRPr="00381876">
        <w:rPr>
          <w:rFonts w:eastAsia="Calibri"/>
        </w:rPr>
        <w:t>начиная с даты подписания настоящего Соглашения и в течение всего срока действия настоящего Соглашения указывать реквизиты в ПАО Банк «ФК Открытие», в т.ч. в Новосибирском филиале ПАО Банка «ФК Открытие» в качестве платежных по всем заключаемым с контрагентами договорам/контрактам, являющимся в соответствии с настоящим Соглашением Основным обязательством, а также не уведомлять Бенефициара об изменении реквизитов для перечисления вышеуказанных платежей по договорам/контрактам, являющимся в соответствии с настоящим Соглашением Основным обязательством.</w:t>
      </w:r>
    </w:p>
    <w:p w:rsidR="006139A9" w:rsidRPr="00381876" w:rsidRDefault="006139A9" w:rsidP="006139A9">
      <w:pPr>
        <w:shd w:val="clear" w:color="auto" w:fill="FFFFFF"/>
        <w:spacing w:line="240" w:lineRule="atLeast"/>
        <w:ind w:firstLine="709"/>
        <w:jc w:val="both"/>
      </w:pPr>
      <w:r w:rsidRPr="00381876">
        <w:rPr>
          <w:b/>
        </w:rPr>
        <w:t>-</w:t>
      </w:r>
      <w:r w:rsidRPr="00381876">
        <w:t xml:space="preserve"> обеспечить на весь период действия настоящего Соглашения поступление 100% (Ста процентов) выручки по договорам/контрактам, являющимся в соответствии с настоящим Соглашением Основным обязательством, на расчетный счет ПАО Банк «ФК Открытие», в т.ч. в Новосибирском филиале ПАО Банка «ФК Открытие».</w:t>
      </w:r>
    </w:p>
    <w:p w:rsidR="006139A9" w:rsidRPr="00381876" w:rsidRDefault="006139A9" w:rsidP="006139A9">
      <w:pPr>
        <w:shd w:val="clear" w:color="auto" w:fill="FFFFFF"/>
        <w:spacing w:line="240" w:lineRule="atLeast"/>
        <w:ind w:firstLine="709"/>
        <w:jc w:val="both"/>
      </w:pPr>
      <w:r w:rsidRPr="00381876">
        <w:rPr>
          <w:b/>
        </w:rPr>
        <w:t xml:space="preserve">- </w:t>
      </w:r>
      <w:r w:rsidRPr="00381876">
        <w:t xml:space="preserve">на ежеквартальной основе в срок не позднее  15-го числа месяца, следующего за отчетным периодом,  предоставлять в Банк документы, подтверждающие исполнение работ по Основному обязательству.  </w:t>
      </w:r>
    </w:p>
    <w:p w:rsidR="006139A9" w:rsidRPr="00381876" w:rsidRDefault="006139A9" w:rsidP="006139A9">
      <w:pPr>
        <w:ind w:firstLine="709"/>
        <w:jc w:val="both"/>
        <w:rPr>
          <w:bCs/>
        </w:rPr>
      </w:pPr>
      <w:r w:rsidRPr="00381876">
        <w:rPr>
          <w:bCs/>
        </w:rPr>
        <w:t>- в случае внесения в настоящее Соглашение изменений путем заключения Дополнительного соглашения предоставить Банку документы, подтверждающие одобрение уполномоченным органом или акционерами Принципала данных изменений (в случае необходимости одобрения данных изменений уполномоченным органом или акционерами Принципала)</w:t>
      </w:r>
      <w:r w:rsidRPr="00381876">
        <w:t xml:space="preserve"> в срок </w:t>
      </w:r>
      <w:r w:rsidRPr="00381876">
        <w:rPr>
          <w:bCs/>
        </w:rPr>
        <w:t>не позднее 45 (Сорока пяти) рабочих дней  с даты заключения Дополнительного соглашения.</w:t>
      </w:r>
    </w:p>
    <w:p w:rsidR="006139A9" w:rsidRPr="00381876" w:rsidRDefault="006139A9" w:rsidP="006139A9">
      <w:pPr>
        <w:ind w:firstLine="709"/>
        <w:jc w:val="both"/>
        <w:rPr>
          <w:bCs/>
        </w:rPr>
      </w:pPr>
      <w:r w:rsidRPr="00381876">
        <w:rPr>
          <w:bCs/>
        </w:rPr>
        <w:t xml:space="preserve">- В случае необходимости одобрения внесения изменений, вносимых в Договор поручительства юридического лица путем заключения Дополнительного соглашения, как крупной сделки или сделки, совершаемой заинтересованностью, уполномоченным органом или акционерами Поручителя, предоставить Банку документы, подтверждающие одобрение указанных изменений в срок не позднее 45(Сорока пяти) рабочих дней  с даты Дополнительного соглашения. </w:t>
      </w:r>
    </w:p>
    <w:p w:rsidR="006139A9" w:rsidRPr="00381876" w:rsidRDefault="006139A9" w:rsidP="006139A9">
      <w:pPr>
        <w:pStyle w:val="3"/>
        <w:spacing w:after="0"/>
        <w:ind w:left="0" w:firstLine="709"/>
        <w:jc w:val="both"/>
        <w:rPr>
          <w:bCs/>
          <w:sz w:val="24"/>
          <w:szCs w:val="24"/>
        </w:rPr>
      </w:pPr>
      <w:r w:rsidRPr="00381876">
        <w:rPr>
          <w:bCs/>
          <w:sz w:val="24"/>
          <w:szCs w:val="24"/>
        </w:rPr>
        <w:t>При этом новый размер комиссии вводится в действие со дня, следующего за днем направления Банком  Принципалу уведомления об увеличении размера комиссии. Новый размер комиссии применяется ко всем Гарантиям, выдача которых должна быть осуществлена Банком после введения в действие нового размера комиссии.</w:t>
      </w:r>
    </w:p>
    <w:p w:rsidR="006139A9" w:rsidRPr="00381876" w:rsidRDefault="006139A9" w:rsidP="006139A9">
      <w:pPr>
        <w:pStyle w:val="3"/>
        <w:spacing w:after="0"/>
        <w:ind w:left="0" w:firstLine="709"/>
        <w:jc w:val="both"/>
        <w:rPr>
          <w:bCs/>
          <w:sz w:val="24"/>
          <w:szCs w:val="24"/>
        </w:rPr>
      </w:pPr>
      <w:r w:rsidRPr="00381876">
        <w:rPr>
          <w:bCs/>
          <w:sz w:val="24"/>
          <w:szCs w:val="24"/>
        </w:rPr>
        <w:t>Уведомление об увеличении размера комиссии направляется Банком по адресу электронной почты Принципала, указанному в Соглашении.</w:t>
      </w:r>
    </w:p>
    <w:p w:rsidR="006139A9" w:rsidRPr="00381876" w:rsidRDefault="006139A9" w:rsidP="006139A9">
      <w:pPr>
        <w:pStyle w:val="3"/>
        <w:spacing w:after="0"/>
        <w:ind w:left="0" w:firstLine="709"/>
        <w:jc w:val="both"/>
        <w:rPr>
          <w:bCs/>
          <w:sz w:val="24"/>
          <w:szCs w:val="24"/>
        </w:rPr>
      </w:pPr>
      <w:r w:rsidRPr="00381876">
        <w:rPr>
          <w:bCs/>
          <w:sz w:val="24"/>
          <w:szCs w:val="24"/>
        </w:rPr>
        <w:t>При этом надлежащим доказательством, подтверждающим направление Банком уведомления об увеличении размера комиссии в адрес Принципала, является распечатанный Банком на бумажном носителе ScreenShot (снимок экрана), содержащий сообщение (уведомление), направленное сотрудником Банка по служебным электронным видам связи, об увеличении размера комиссии с указанием нового размера комиссии и даты, с которой подлежит применению новый размер комиссии, а также сведения об адресате сообщения и сведения о дате отправки данного сообщения Банком.</w:t>
      </w:r>
    </w:p>
    <w:p w:rsidR="006139A9" w:rsidRPr="00381876" w:rsidRDefault="006139A9" w:rsidP="006139A9">
      <w:pPr>
        <w:pStyle w:val="3"/>
        <w:spacing w:after="0"/>
        <w:ind w:left="0" w:firstLine="709"/>
        <w:jc w:val="both"/>
        <w:rPr>
          <w:sz w:val="24"/>
          <w:szCs w:val="24"/>
        </w:rPr>
      </w:pPr>
      <w:r w:rsidRPr="00381876">
        <w:rPr>
          <w:bCs/>
          <w:sz w:val="24"/>
          <w:szCs w:val="24"/>
        </w:rPr>
        <w:lastRenderedPageBreak/>
        <w:t>Не позднее рабочего дня, следующего за днем направления уведомления об увеличении размера комиссии по адресу электронной почты Принципала, Банк вправе направить уведомление об увеличении размера комиссии, оформленное на бумажном носителе, почтой по почтовому адресу Принципала, указанному в Соглашении.</w:t>
      </w:r>
      <w:r w:rsidRPr="00381876">
        <w:rPr>
          <w:sz w:val="24"/>
          <w:szCs w:val="24"/>
        </w:rPr>
        <w:t xml:space="preserve"> </w:t>
      </w:r>
    </w:p>
    <w:p w:rsidR="006139A9" w:rsidRPr="00381876" w:rsidRDefault="006139A9" w:rsidP="006139A9">
      <w:pPr>
        <w:pStyle w:val="3"/>
        <w:spacing w:after="0"/>
        <w:ind w:left="0" w:firstLine="709"/>
        <w:jc w:val="both"/>
        <w:rPr>
          <w:bCs/>
          <w:sz w:val="24"/>
          <w:szCs w:val="24"/>
        </w:rPr>
      </w:pPr>
      <w:r w:rsidRPr="00381876">
        <w:rPr>
          <w:sz w:val="24"/>
          <w:szCs w:val="24"/>
        </w:rPr>
        <w:t>При этом Соглашением установлено</w:t>
      </w:r>
      <w:r w:rsidRPr="00381876">
        <w:rPr>
          <w:bCs/>
          <w:sz w:val="24"/>
          <w:szCs w:val="24"/>
        </w:rPr>
        <w:t>, что направление Банком уведомления об увеличении размера комиссии по почте не является обязательным условием для целей соблюдения порядка увеличения размера комиссии за выдачу Гарантии, указанного в Соглашении. При этом Принципал несет риск всех неблагоприятных последствий, связанных с неисполнением Принципалом обязательства по уведомлению Банка об изменении адресов для  направления корреспонденции.</w:t>
      </w:r>
    </w:p>
    <w:p w:rsidR="006139A9" w:rsidRPr="00381876" w:rsidRDefault="006139A9" w:rsidP="006139A9">
      <w:pPr>
        <w:shd w:val="clear" w:color="auto" w:fill="FFFFFF"/>
        <w:ind w:firstLine="709"/>
        <w:jc w:val="both"/>
      </w:pPr>
      <w:r w:rsidRPr="00381876">
        <w:t>- срок действия Соглашения: - до  полного исполнения Сторонами обязательств по нему;</w:t>
      </w:r>
    </w:p>
    <w:p w:rsidR="006139A9" w:rsidRPr="00381876" w:rsidRDefault="006139A9" w:rsidP="006139A9">
      <w:pPr>
        <w:pStyle w:val="3"/>
        <w:spacing w:after="0"/>
        <w:ind w:left="0" w:firstLine="709"/>
        <w:jc w:val="both"/>
        <w:rPr>
          <w:sz w:val="24"/>
          <w:szCs w:val="24"/>
        </w:rPr>
      </w:pPr>
      <w:r w:rsidRPr="00381876">
        <w:rPr>
          <w:sz w:val="24"/>
          <w:szCs w:val="24"/>
        </w:rPr>
        <w:t>- пени за просрочку возмещения либо частичное возмещение, выплаченных Гарантом в пользу Бенефициара всех сумм, а также комиссий за перевод и прочих расходов, понесенных Гарантом по исполнению обязательств по гарантии и/или неуплату либо частичную уплату комиссии за предоставленную гарантию – в размере двойной процентной ставки рефинансирования Банка России выраженной в процентах годовых от суммы задолженности за каждый день просрочки.»</w:t>
      </w:r>
    </w:p>
    <w:p w:rsidR="006139A9" w:rsidRPr="00381876" w:rsidRDefault="006139A9" w:rsidP="006139A9">
      <w:pPr>
        <w:ind w:firstLine="708"/>
        <w:jc w:val="both"/>
      </w:pPr>
      <w:r w:rsidRPr="00381876">
        <w:t>- Поручительство прекращается «31» мая 2023 года, а также в случаях, предусмотренных ст.367 ГК РФ.»</w:t>
      </w:r>
    </w:p>
    <w:p w:rsidR="008C30FA" w:rsidRPr="004D1857" w:rsidRDefault="00557445" w:rsidP="008C30FA">
      <w:pPr>
        <w:jc w:val="both"/>
        <w:rPr>
          <w:color w:val="002060"/>
          <w:sz w:val="22"/>
          <w:szCs w:val="22"/>
        </w:rPr>
      </w:pPr>
      <w:r w:rsidRPr="004D1857">
        <w:rPr>
          <w:color w:val="002060"/>
          <w:sz w:val="22"/>
          <w:szCs w:val="22"/>
          <w:u w:val="single"/>
        </w:rPr>
        <w:t>Цена сделки:</w:t>
      </w:r>
      <w:r w:rsidRPr="004D1857">
        <w:rPr>
          <w:color w:val="002060"/>
          <w:sz w:val="22"/>
          <w:szCs w:val="22"/>
        </w:rPr>
        <w:t xml:space="preserve"> определена в размере</w:t>
      </w:r>
      <w:r w:rsidRPr="004D1857">
        <w:rPr>
          <w:b/>
          <w:color w:val="002060"/>
          <w:sz w:val="22"/>
          <w:szCs w:val="22"/>
        </w:rPr>
        <w:t xml:space="preserve"> </w:t>
      </w:r>
      <w:r w:rsidR="008C30FA" w:rsidRPr="004D1857">
        <w:rPr>
          <w:color w:val="002060"/>
          <w:sz w:val="22"/>
          <w:szCs w:val="22"/>
        </w:rPr>
        <w:t>220 000 000 (Двести двадцать миллионов) рублей, что составляет 5,74</w:t>
      </w:r>
      <w:r w:rsidRPr="004D1857">
        <w:rPr>
          <w:color w:val="002060"/>
          <w:sz w:val="22"/>
          <w:szCs w:val="22"/>
        </w:rPr>
        <w:t xml:space="preserve"> % от стоимости активов Поручителя по состоянию на 31.12.2016</w:t>
      </w:r>
      <w:r w:rsidR="008C30FA" w:rsidRPr="004D1857">
        <w:rPr>
          <w:color w:val="002060"/>
          <w:sz w:val="22"/>
          <w:szCs w:val="22"/>
        </w:rPr>
        <w:t xml:space="preserve"> </w:t>
      </w:r>
      <w:r w:rsidRPr="004D1857">
        <w:rPr>
          <w:color w:val="002060"/>
          <w:sz w:val="22"/>
          <w:szCs w:val="22"/>
        </w:rPr>
        <w:t>г.</w:t>
      </w:r>
      <w:r w:rsidR="008C30FA" w:rsidRPr="004D1857">
        <w:rPr>
          <w:color w:val="002060"/>
          <w:sz w:val="22"/>
          <w:szCs w:val="22"/>
        </w:rPr>
        <w:t xml:space="preserve"> (с учетом суммы непогашенных обязательств Поручителя перед Банком определена в размере</w:t>
      </w:r>
      <w:r w:rsidR="008C30FA" w:rsidRPr="004D1857">
        <w:rPr>
          <w:b/>
          <w:color w:val="002060"/>
          <w:sz w:val="22"/>
          <w:szCs w:val="22"/>
        </w:rPr>
        <w:t xml:space="preserve"> </w:t>
      </w:r>
      <w:r w:rsidR="00AA443B">
        <w:rPr>
          <w:color w:val="002060"/>
          <w:sz w:val="22"/>
          <w:szCs w:val="22"/>
        </w:rPr>
        <w:t>более 50</w:t>
      </w:r>
      <w:bookmarkStart w:id="0" w:name="_GoBack"/>
      <w:bookmarkEnd w:id="0"/>
      <w:r w:rsidR="008C30FA" w:rsidRPr="004D1857">
        <w:rPr>
          <w:color w:val="002060"/>
          <w:sz w:val="22"/>
          <w:szCs w:val="22"/>
        </w:rPr>
        <w:t xml:space="preserve"> % от стоимости активов Поручителя по состоянию на 31.12.2016 г.)</w:t>
      </w:r>
    </w:p>
    <w:p w:rsidR="006139A9" w:rsidRDefault="006139A9" w:rsidP="00055939">
      <w:pPr>
        <w:overflowPunct w:val="0"/>
        <w:autoSpaceDE w:val="0"/>
        <w:autoSpaceDN w:val="0"/>
        <w:adjustRightInd w:val="0"/>
        <w:spacing w:before="120"/>
        <w:jc w:val="both"/>
        <w:rPr>
          <w:b/>
        </w:rPr>
      </w:pPr>
    </w:p>
    <w:p w:rsidR="00055939" w:rsidRPr="002264ED" w:rsidRDefault="005925D6" w:rsidP="00055939">
      <w:pPr>
        <w:overflowPunct w:val="0"/>
        <w:autoSpaceDE w:val="0"/>
        <w:autoSpaceDN w:val="0"/>
        <w:adjustRightInd w:val="0"/>
        <w:spacing w:before="120"/>
        <w:jc w:val="both"/>
        <w:rPr>
          <w:b/>
        </w:rPr>
      </w:pPr>
      <w:r>
        <w:rPr>
          <w:b/>
        </w:rPr>
        <w:t>Дата составления отчета: «13» февраля</w:t>
      </w:r>
      <w:r w:rsidR="00055939" w:rsidRPr="002264ED">
        <w:rPr>
          <w:b/>
        </w:rPr>
        <w:t xml:space="preserve"> 2017 года.</w:t>
      </w:r>
    </w:p>
    <w:p w:rsidR="00055939" w:rsidRPr="002264ED" w:rsidRDefault="00055939" w:rsidP="00055939">
      <w:pPr>
        <w:jc w:val="right"/>
        <w:rPr>
          <w:b/>
        </w:rPr>
      </w:pPr>
    </w:p>
    <w:p w:rsidR="00055939" w:rsidRDefault="00055939" w:rsidP="00055939">
      <w:pPr>
        <w:rPr>
          <w:b/>
        </w:rPr>
      </w:pPr>
      <w:r w:rsidRPr="002264ED">
        <w:rPr>
          <w:b/>
        </w:rPr>
        <w:t>Председатель Собрания</w:t>
      </w:r>
      <w:r w:rsidRPr="002264ED">
        <w:rPr>
          <w:b/>
        </w:rPr>
        <w:tab/>
      </w:r>
      <w:r w:rsidRPr="002264ED">
        <w:rPr>
          <w:b/>
        </w:rPr>
        <w:tab/>
      </w:r>
      <w:r w:rsidRPr="002264ED">
        <w:rPr>
          <w:b/>
        </w:rPr>
        <w:tab/>
      </w:r>
      <w:r w:rsidRPr="002264ED">
        <w:rPr>
          <w:b/>
        </w:rPr>
        <w:tab/>
      </w:r>
      <w:r w:rsidRPr="002264ED">
        <w:rPr>
          <w:b/>
        </w:rPr>
        <w:tab/>
      </w:r>
      <w:r w:rsidRPr="002264ED">
        <w:rPr>
          <w:b/>
        </w:rPr>
        <w:tab/>
        <w:t>А.Е. Новиков</w:t>
      </w:r>
    </w:p>
    <w:p w:rsidR="00BF2220" w:rsidRPr="002264ED" w:rsidRDefault="00BF2220" w:rsidP="00055939">
      <w:pPr>
        <w:rPr>
          <w:b/>
        </w:rPr>
      </w:pPr>
    </w:p>
    <w:p w:rsidR="00055939" w:rsidRPr="002264ED" w:rsidRDefault="00055939" w:rsidP="00055939">
      <w:pPr>
        <w:rPr>
          <w:b/>
        </w:rPr>
      </w:pPr>
    </w:p>
    <w:p w:rsidR="00055939" w:rsidRPr="002264ED" w:rsidRDefault="00055939" w:rsidP="00055939">
      <w:pPr>
        <w:rPr>
          <w:b/>
        </w:rPr>
      </w:pPr>
      <w:r w:rsidRPr="002264ED">
        <w:rPr>
          <w:b/>
        </w:rPr>
        <w:t>Секретарь Собрания</w:t>
      </w:r>
      <w:r w:rsidRPr="002264ED">
        <w:rPr>
          <w:b/>
        </w:rPr>
        <w:tab/>
      </w:r>
      <w:r w:rsidRPr="002264ED">
        <w:rPr>
          <w:b/>
        </w:rPr>
        <w:tab/>
      </w:r>
      <w:r w:rsidRPr="002264ED">
        <w:rPr>
          <w:b/>
        </w:rPr>
        <w:tab/>
      </w:r>
      <w:r w:rsidRPr="002264ED">
        <w:rPr>
          <w:b/>
        </w:rPr>
        <w:tab/>
      </w:r>
      <w:r w:rsidRPr="002264ED">
        <w:rPr>
          <w:b/>
        </w:rPr>
        <w:tab/>
      </w:r>
      <w:r w:rsidRPr="002264ED">
        <w:rPr>
          <w:b/>
        </w:rPr>
        <w:tab/>
        <w:t>Ю.А. Воронина</w:t>
      </w:r>
    </w:p>
    <w:p w:rsidR="00055939" w:rsidRPr="002264ED" w:rsidRDefault="00055939" w:rsidP="00055939">
      <w:pPr>
        <w:jc w:val="both"/>
        <w:rPr>
          <w:b/>
        </w:rPr>
      </w:pPr>
    </w:p>
    <w:p w:rsidR="006D5BC8" w:rsidRDefault="00055939">
      <w:r w:rsidRPr="002264ED">
        <w:rPr>
          <w:b/>
        </w:rPr>
        <w:t xml:space="preserve">      </w:t>
      </w:r>
      <w:r w:rsidR="00772678">
        <w:rPr>
          <w:b/>
        </w:rPr>
        <w:t xml:space="preserve">                                                            </w:t>
      </w:r>
      <w:r w:rsidRPr="002264ED">
        <w:rPr>
          <w:b/>
        </w:rPr>
        <w:t xml:space="preserve">  </w:t>
      </w:r>
      <w:r w:rsidRPr="002264ED">
        <w:t xml:space="preserve">М.П. </w:t>
      </w:r>
    </w:p>
    <w:sectPr w:rsidR="006D5BC8"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56" w:rsidRDefault="00766456" w:rsidP="00055939">
      <w:r>
        <w:separator/>
      </w:r>
    </w:p>
  </w:endnote>
  <w:endnote w:type="continuationSeparator" w:id="0">
    <w:p w:rsidR="00766456" w:rsidRDefault="00766456"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766456" w:rsidRDefault="00766456">
        <w:pPr>
          <w:pStyle w:val="aa"/>
          <w:jc w:val="right"/>
        </w:pPr>
        <w:r>
          <w:fldChar w:fldCharType="begin"/>
        </w:r>
        <w:r>
          <w:instrText>PAGE   \* MERGEFORMAT</w:instrText>
        </w:r>
        <w:r>
          <w:fldChar w:fldCharType="separate"/>
        </w:r>
        <w:r w:rsidR="00AA443B">
          <w:rPr>
            <w:noProof/>
          </w:rPr>
          <w:t>4</w:t>
        </w:r>
        <w:r>
          <w:fldChar w:fldCharType="end"/>
        </w:r>
      </w:p>
    </w:sdtContent>
  </w:sdt>
  <w:p w:rsidR="00766456" w:rsidRDefault="007664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56" w:rsidRDefault="00766456" w:rsidP="00055939">
      <w:r>
        <w:separator/>
      </w:r>
    </w:p>
  </w:footnote>
  <w:footnote w:type="continuationSeparator" w:id="0">
    <w:p w:rsidR="00766456" w:rsidRDefault="00766456"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94A61"/>
    <w:multiLevelType w:val="hybridMultilevel"/>
    <w:tmpl w:val="39807748"/>
    <w:lvl w:ilvl="0" w:tplc="3B28E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2">
    <w:nsid w:val="32D66B39"/>
    <w:multiLevelType w:val="multilevel"/>
    <w:tmpl w:val="8A069F70"/>
    <w:lvl w:ilvl="0">
      <w:start w:val="1"/>
      <w:numFmt w:val="decimal"/>
      <w:lvlText w:val="%1."/>
      <w:lvlJc w:val="left"/>
      <w:pPr>
        <w:tabs>
          <w:tab w:val="num" w:pos="644"/>
        </w:tabs>
        <w:ind w:left="644" w:hanging="360"/>
      </w:pPr>
      <w:rPr>
        <w:b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6B125DFD"/>
    <w:multiLevelType w:val="hybridMultilevel"/>
    <w:tmpl w:val="A22ABA40"/>
    <w:lvl w:ilvl="0" w:tplc="C10A5912">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55939"/>
    <w:rsid w:val="000613CF"/>
    <w:rsid w:val="000A01D8"/>
    <w:rsid w:val="000A7F39"/>
    <w:rsid w:val="000D1C12"/>
    <w:rsid w:val="000E69A5"/>
    <w:rsid w:val="001403BE"/>
    <w:rsid w:val="00171E01"/>
    <w:rsid w:val="001812D3"/>
    <w:rsid w:val="001E45E3"/>
    <w:rsid w:val="002264ED"/>
    <w:rsid w:val="00295671"/>
    <w:rsid w:val="002961A7"/>
    <w:rsid w:val="002969D0"/>
    <w:rsid w:val="002B2DCE"/>
    <w:rsid w:val="002D6094"/>
    <w:rsid w:val="002E77C8"/>
    <w:rsid w:val="00310CE2"/>
    <w:rsid w:val="00376EC9"/>
    <w:rsid w:val="003C29D3"/>
    <w:rsid w:val="003D7EB0"/>
    <w:rsid w:val="003E2DA6"/>
    <w:rsid w:val="003F6962"/>
    <w:rsid w:val="004017EE"/>
    <w:rsid w:val="004D1857"/>
    <w:rsid w:val="00556679"/>
    <w:rsid w:val="00557445"/>
    <w:rsid w:val="00562602"/>
    <w:rsid w:val="00582FEE"/>
    <w:rsid w:val="005925D6"/>
    <w:rsid w:val="005D3318"/>
    <w:rsid w:val="005F6993"/>
    <w:rsid w:val="00600667"/>
    <w:rsid w:val="006139A9"/>
    <w:rsid w:val="00693176"/>
    <w:rsid w:val="006D5BC8"/>
    <w:rsid w:val="006F2E90"/>
    <w:rsid w:val="00733922"/>
    <w:rsid w:val="00742591"/>
    <w:rsid w:val="00766456"/>
    <w:rsid w:val="00772678"/>
    <w:rsid w:val="00866EBB"/>
    <w:rsid w:val="00871516"/>
    <w:rsid w:val="008A0259"/>
    <w:rsid w:val="008C30FA"/>
    <w:rsid w:val="009129CB"/>
    <w:rsid w:val="00935066"/>
    <w:rsid w:val="009919D2"/>
    <w:rsid w:val="009E7256"/>
    <w:rsid w:val="00A142E2"/>
    <w:rsid w:val="00A41B09"/>
    <w:rsid w:val="00AA443B"/>
    <w:rsid w:val="00AE72B5"/>
    <w:rsid w:val="00AE7C5C"/>
    <w:rsid w:val="00B0582C"/>
    <w:rsid w:val="00BC3DD6"/>
    <w:rsid w:val="00BE1A16"/>
    <w:rsid w:val="00BF2220"/>
    <w:rsid w:val="00C259A4"/>
    <w:rsid w:val="00C942DD"/>
    <w:rsid w:val="00CC422A"/>
    <w:rsid w:val="00D52460"/>
    <w:rsid w:val="00D758CB"/>
    <w:rsid w:val="00D82897"/>
    <w:rsid w:val="00DE403E"/>
    <w:rsid w:val="00DE5DEA"/>
    <w:rsid w:val="00E055FD"/>
    <w:rsid w:val="00E40748"/>
    <w:rsid w:val="00EC653A"/>
    <w:rsid w:val="00EE127A"/>
    <w:rsid w:val="00FD696C"/>
    <w:rsid w:val="00FE0565"/>
    <w:rsid w:val="00FE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55939"/>
    <w:pPr>
      <w:tabs>
        <w:tab w:val="center" w:pos="4677"/>
        <w:tab w:val="right" w:pos="9355"/>
      </w:tabs>
    </w:pPr>
  </w:style>
  <w:style w:type="character" w:customStyle="1" w:styleId="ab">
    <w:name w:val="Нижний колонтитул Знак"/>
    <w:basedOn w:val="a1"/>
    <w:link w:val="aa"/>
    <w:uiPriority w:val="99"/>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basedOn w:val="a0"/>
    <w:uiPriority w:val="34"/>
    <w:qFormat/>
    <w:rsid w:val="00FE6742"/>
    <w:pPr>
      <w:ind w:left="720"/>
      <w:contextualSpacing/>
    </w:pPr>
    <w:rPr>
      <w:sz w:val="20"/>
      <w:szCs w:val="20"/>
    </w:rPr>
  </w:style>
  <w:style w:type="paragraph" w:styleId="af">
    <w:name w:val="Body Text Indent"/>
    <w:basedOn w:val="a0"/>
    <w:link w:val="af0"/>
    <w:uiPriority w:val="99"/>
    <w:semiHidden/>
    <w:unhideWhenUsed/>
    <w:rsid w:val="006139A9"/>
    <w:pPr>
      <w:spacing w:after="120"/>
      <w:ind w:left="283"/>
    </w:pPr>
  </w:style>
  <w:style w:type="character" w:customStyle="1" w:styleId="af0">
    <w:name w:val="Основной текст с отступом Знак"/>
    <w:basedOn w:val="a1"/>
    <w:link w:val="af"/>
    <w:uiPriority w:val="99"/>
    <w:semiHidden/>
    <w:rsid w:val="006139A9"/>
    <w:rPr>
      <w:rFonts w:ascii="Times New Roman" w:eastAsia="Times New Roman" w:hAnsi="Times New Roman" w:cs="Times New Roman"/>
      <w:sz w:val="24"/>
      <w:szCs w:val="24"/>
      <w:lang w:eastAsia="ru-RU"/>
    </w:rPr>
  </w:style>
  <w:style w:type="paragraph" w:styleId="3">
    <w:name w:val="Body Text Indent 3"/>
    <w:basedOn w:val="a0"/>
    <w:link w:val="30"/>
    <w:uiPriority w:val="99"/>
    <w:rsid w:val="006139A9"/>
    <w:pPr>
      <w:spacing w:after="120"/>
      <w:ind w:left="283"/>
    </w:pPr>
    <w:rPr>
      <w:sz w:val="16"/>
      <w:szCs w:val="16"/>
    </w:rPr>
  </w:style>
  <w:style w:type="character" w:customStyle="1" w:styleId="30">
    <w:name w:val="Основной текст с отступом 3 Знак"/>
    <w:basedOn w:val="a1"/>
    <w:link w:val="3"/>
    <w:uiPriority w:val="99"/>
    <w:rsid w:val="006139A9"/>
    <w:rPr>
      <w:rFonts w:ascii="Times New Roman" w:eastAsia="Times New Roman" w:hAnsi="Times New Roman" w:cs="Times New Roman"/>
      <w:sz w:val="16"/>
      <w:szCs w:val="16"/>
      <w:lang w:eastAsia="ru-RU"/>
    </w:rPr>
  </w:style>
  <w:style w:type="character" w:customStyle="1" w:styleId="Iniiaiieoeoo">
    <w:name w:val="Iniiaiie o?eoo"/>
    <w:rsid w:val="00613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8236">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24</cp:revision>
  <dcterms:created xsi:type="dcterms:W3CDTF">2017-11-20T08:37:00Z</dcterms:created>
  <dcterms:modified xsi:type="dcterms:W3CDTF">2017-11-24T05:47:00Z</dcterms:modified>
</cp:coreProperties>
</file>