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055939" w:rsidP="00055939">
      <w:pPr>
        <w:overflowPunct w:val="0"/>
        <w:autoSpaceDE w:val="0"/>
        <w:autoSpaceDN w:val="0"/>
        <w:adjustRightInd w:val="0"/>
        <w:jc w:val="center"/>
        <w:rPr>
          <w:b/>
          <w:sz w:val="22"/>
          <w:szCs w:val="22"/>
        </w:rPr>
      </w:pPr>
      <w:r>
        <w:rPr>
          <w:b/>
          <w:sz w:val="22"/>
          <w:szCs w:val="22"/>
        </w:rPr>
        <w:t xml:space="preserve">НА ВНЕОЧЕРЕДНОМ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 xml:space="preserve">Акционерное общество «Сибнефтемаш» </w:t>
            </w:r>
          </w:p>
          <w:p w:rsidR="00055939" w:rsidRDefault="00055939">
            <w:pPr>
              <w:jc w:val="both"/>
            </w:pPr>
            <w:r>
              <w:t xml:space="preserve">(далее АО «Сибнефтемаш» или «Общество») </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внеочередное</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E334D5">
            <w:pPr>
              <w:jc w:val="both"/>
              <w:rPr>
                <w:b/>
              </w:rPr>
            </w:pPr>
            <w:r>
              <w:rPr>
                <w:b/>
              </w:rPr>
              <w:t>«18» июля</w:t>
            </w:r>
            <w:r w:rsidR="00055939">
              <w:rPr>
                <w:b/>
              </w:rPr>
              <w:t xml:space="preserve"> 2017 года</w:t>
            </w:r>
          </w:p>
        </w:tc>
      </w:tr>
      <w:tr w:rsidR="00055939"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AC4861">
            <w:pPr>
              <w:jc w:val="both"/>
            </w:pPr>
            <w:r>
              <w:t>«27» июня</w:t>
            </w:r>
            <w:r w:rsidR="00F51377">
              <w:t xml:space="preserve"> </w:t>
            </w:r>
            <w:r w:rsidR="00055939">
              <w:t>2017 года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D00B95">
            <w:pPr>
              <w:jc w:val="both"/>
              <w:rPr>
                <w:b/>
              </w:rPr>
            </w:pPr>
            <w:r>
              <w:rPr>
                <w:b/>
              </w:rPr>
              <w:t>«18» июля</w:t>
            </w:r>
            <w:r w:rsidR="00055939">
              <w:rPr>
                <w:b/>
              </w:rPr>
              <w:t xml:space="preserve"> 2017 года, 12 ч. 00 мин. </w:t>
            </w:r>
          </w:p>
        </w:tc>
      </w:tr>
    </w:tbl>
    <w:p w:rsidR="00055939" w:rsidRDefault="00055939" w:rsidP="00055939">
      <w:pPr>
        <w:ind w:firstLine="720"/>
        <w:jc w:val="both"/>
        <w:rPr>
          <w:sz w:val="22"/>
          <w:szCs w:val="22"/>
        </w:rPr>
      </w:pPr>
    </w:p>
    <w:p w:rsidR="00055939" w:rsidRDefault="00055939" w:rsidP="00055939">
      <w:pPr>
        <w:jc w:val="both"/>
        <w:rPr>
          <w:bCs/>
        </w:rPr>
      </w:pPr>
      <w:r>
        <w:rPr>
          <w:b/>
          <w:bCs/>
        </w:rPr>
        <w:t>Председатель собрания</w:t>
      </w:r>
      <w:r>
        <w:rPr>
          <w:bCs/>
        </w:rPr>
        <w:t>: Новиков Андрей Евгеньевич.</w:t>
      </w:r>
    </w:p>
    <w:p w:rsidR="00055939" w:rsidRDefault="00055939" w:rsidP="00055939">
      <w:pPr>
        <w:jc w:val="both"/>
        <w:rPr>
          <w:bCs/>
        </w:rPr>
      </w:pPr>
      <w:r>
        <w:rPr>
          <w:b/>
          <w:bCs/>
        </w:rPr>
        <w:t>Секретарь собрания</w:t>
      </w:r>
      <w:r>
        <w:rPr>
          <w:bCs/>
        </w:rPr>
        <w:t>: Воронина Юлия Александровна.</w:t>
      </w:r>
    </w:p>
    <w:p w:rsidR="00055939" w:rsidRDefault="00055939" w:rsidP="00055939">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055939" w:rsidRDefault="00055939" w:rsidP="00055939">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107996, РФ, г. Москва, ул. Буженинова, д. 30, стр. 1</w:t>
      </w:r>
      <w:r>
        <w:rPr>
          <w:sz w:val="22"/>
          <w:szCs w:val="22"/>
        </w:rPr>
        <w:t xml:space="preserve"> (</w:t>
      </w:r>
      <w:r>
        <w:t>место нахождение Тюменского филиала: 625019, РФ, Тюменская область, г. Тюмень, ул. Республики, д. 211 А).</w:t>
      </w:r>
    </w:p>
    <w:p w:rsidR="004F4D74" w:rsidRPr="004F4D74" w:rsidRDefault="00055939" w:rsidP="004F4D74">
      <w:pPr>
        <w:tabs>
          <w:tab w:val="left" w:pos="3261"/>
          <w:tab w:val="left" w:pos="10704"/>
        </w:tabs>
        <w:spacing w:before="60"/>
        <w:jc w:val="both"/>
        <w:rPr>
          <w:sz w:val="22"/>
          <w:szCs w:val="22"/>
        </w:rPr>
      </w:pPr>
      <w:r>
        <w:rPr>
          <w:b/>
          <w:sz w:val="22"/>
          <w:szCs w:val="22"/>
        </w:rPr>
        <w:t>Уполномоченное лицо регистратора:</w:t>
      </w:r>
      <w:r w:rsidR="004F4D74">
        <w:rPr>
          <w:sz w:val="22"/>
          <w:szCs w:val="22"/>
        </w:rPr>
        <w:t xml:space="preserve"> Токмянина Вера Львовна</w:t>
      </w:r>
      <w:r>
        <w:rPr>
          <w:sz w:val="22"/>
          <w:szCs w:val="22"/>
        </w:rPr>
        <w:t xml:space="preserve"> </w:t>
      </w:r>
      <w:r w:rsidR="004F4D74" w:rsidRPr="004F4D74">
        <w:rPr>
          <w:sz w:val="22"/>
          <w:szCs w:val="22"/>
        </w:rPr>
        <w:t xml:space="preserve">(доверенность №104 от 01.09.2014 г. сроком действия до 01.09.2017 г.). </w:t>
      </w:r>
    </w:p>
    <w:p w:rsidR="00055939" w:rsidRDefault="00055939" w:rsidP="00055939">
      <w:pPr>
        <w:tabs>
          <w:tab w:val="left" w:pos="3261"/>
          <w:tab w:val="left" w:pos="10704"/>
        </w:tabs>
        <w:spacing w:before="60"/>
        <w:jc w:val="both"/>
        <w:rPr>
          <w:sz w:val="22"/>
          <w:szCs w:val="22"/>
        </w:rPr>
      </w:pPr>
    </w:p>
    <w:p w:rsidR="000E69A5" w:rsidRDefault="00055939" w:rsidP="000E69A5">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3F6962" w:rsidRPr="000E69A5" w:rsidRDefault="003F6962" w:rsidP="000E69A5">
      <w:pPr>
        <w:jc w:val="both"/>
        <w:sectPr w:rsidR="003F6962" w:rsidRPr="000E69A5">
          <w:footerReference w:type="default" r:id="rId7"/>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0E69A5" w:rsidRPr="006A5278" w:rsidTr="000E69A5">
        <w:trPr>
          <w:cantSplit/>
          <w:trHeight w:val="699"/>
        </w:trPr>
        <w:tc>
          <w:tcPr>
            <w:tcW w:w="7479" w:type="dxa"/>
            <w:shd w:val="clear" w:color="auto" w:fill="auto"/>
          </w:tcPr>
          <w:p w:rsidR="000E69A5" w:rsidRPr="00B0582C" w:rsidRDefault="000E69A5" w:rsidP="000E69A5">
            <w:pPr>
              <w:keepNext/>
              <w:spacing w:before="40" w:after="40"/>
              <w:jc w:val="both"/>
            </w:pPr>
            <w:r w:rsidRPr="00B0582C">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0E69A5" w:rsidRPr="00B0582C" w:rsidRDefault="000E69A5" w:rsidP="000E69A5">
            <w:pPr>
              <w:keepNext/>
              <w:spacing w:before="40" w:after="40"/>
              <w:jc w:val="both"/>
            </w:pP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6A5278" w:rsidTr="000E69A5">
        <w:trPr>
          <w:cantSplit/>
        </w:trPr>
        <w:tc>
          <w:tcPr>
            <w:tcW w:w="7479" w:type="dxa"/>
            <w:shd w:val="clear" w:color="auto" w:fill="auto"/>
          </w:tcPr>
          <w:p w:rsidR="000E69A5" w:rsidRPr="00B0582C" w:rsidRDefault="000E69A5" w:rsidP="000E69A5">
            <w:pPr>
              <w:keepNext/>
              <w:spacing w:before="40" w:after="40"/>
              <w:jc w:val="both"/>
            </w:pPr>
            <w:r w:rsidRPr="00B0582C">
              <w:t>Число голосов, приходившихся на голосующие акции общества по вопросам повестки дня общего собрания, определенное с учетом положений п. 4.20 Положения, утвержденного приказом ФСФР России от 02.02.2012 г. № 12-6/пз-н:</w:t>
            </w: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jc w:val="both"/>
              <w:rPr>
                <w:color w:val="FF0000"/>
              </w:rPr>
            </w:pPr>
            <w:r w:rsidRPr="00B0582C">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0E69A5" w:rsidRPr="00B0582C" w:rsidRDefault="000E69A5" w:rsidP="000E69A5">
            <w:pPr>
              <w:keepNext/>
              <w:spacing w:before="40" w:after="40"/>
              <w:jc w:val="right"/>
            </w:pPr>
            <w:r w:rsidRPr="00B0582C">
              <w:rPr>
                <w:lang w:val="en-US"/>
              </w:rPr>
              <w:t xml:space="preserve">1 774 </w:t>
            </w:r>
            <w:r w:rsidRPr="00B0582C">
              <w:t>348</w:t>
            </w:r>
          </w:p>
          <w:p w:rsidR="000E69A5" w:rsidRPr="00B0582C" w:rsidRDefault="000E69A5" w:rsidP="000E69A5">
            <w:pPr>
              <w:keepNext/>
              <w:spacing w:before="40" w:after="40"/>
              <w:jc w:val="right"/>
              <w:rPr>
                <w:color w:val="FF0000"/>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rPr>
                <w:b/>
                <w:bCs/>
              </w:rPr>
            </w:pPr>
            <w:r w:rsidRPr="00B0582C">
              <w:rPr>
                <w:b/>
                <w:bCs/>
              </w:rPr>
              <w:t>Наличие кворума:</w:t>
            </w:r>
          </w:p>
        </w:tc>
        <w:tc>
          <w:tcPr>
            <w:tcW w:w="1843" w:type="dxa"/>
            <w:shd w:val="clear" w:color="auto" w:fill="auto"/>
            <w:vAlign w:val="bottom"/>
          </w:tcPr>
          <w:p w:rsidR="000E69A5" w:rsidRPr="00B0582C" w:rsidRDefault="000E69A5" w:rsidP="000E69A5">
            <w:pPr>
              <w:keepNext/>
              <w:spacing w:before="40" w:after="40"/>
              <w:jc w:val="center"/>
              <w:rPr>
                <w:b/>
                <w:bCs/>
                <w:lang w:val="en-US"/>
              </w:rPr>
            </w:pPr>
            <w:r w:rsidRPr="00B0582C">
              <w:rPr>
                <w:b/>
                <w:bCs/>
                <w:color w:val="FF0000"/>
              </w:rPr>
              <w:t xml:space="preserve">     </w:t>
            </w:r>
            <w:r w:rsidRPr="00B0582C">
              <w:rPr>
                <w:b/>
                <w:bCs/>
                <w:lang w:val="en-US"/>
              </w:rPr>
              <w:t>есть (99,76%)</w:t>
            </w:r>
          </w:p>
        </w:tc>
      </w:tr>
    </w:tbl>
    <w:p w:rsidR="000E69A5" w:rsidRPr="00B0582C" w:rsidRDefault="000E69A5" w:rsidP="000E69A5">
      <w:pPr>
        <w:jc w:val="both"/>
        <w:rPr>
          <w:b/>
        </w:rPr>
      </w:pPr>
      <w:r w:rsidRPr="00B0582C">
        <w:rPr>
          <w:b/>
        </w:rPr>
        <w:lastRenderedPageBreak/>
        <w:t>Информация о наличии кворума по всем вопросам повестки дня, определенного по данным участия в общем собрании акционеров - владельцев голосующих акций**:</w:t>
      </w:r>
    </w:p>
    <w:p w:rsidR="000E69A5" w:rsidRPr="00B0582C" w:rsidRDefault="000E69A5" w:rsidP="000E69A5">
      <w:pPr>
        <w:jc w:val="both"/>
        <w:rPr>
          <w:b/>
        </w:rPr>
      </w:pPr>
      <w:r w:rsidRPr="00B0582C">
        <w:rPr>
          <w:b/>
        </w:rPr>
        <w:lastRenderedPageBreak/>
        <w:t xml:space="preserve">Информация о наличии кворума по </w:t>
      </w:r>
      <w:r w:rsidR="006E7FA5">
        <w:rPr>
          <w:b/>
        </w:rPr>
        <w:t>1,</w:t>
      </w:r>
      <w:r w:rsidR="006E7FA5">
        <w:rPr>
          <w:b/>
          <w:bCs/>
        </w:rPr>
        <w:t>4,6</w:t>
      </w:r>
      <w:r w:rsidRPr="00B0582C">
        <w:rPr>
          <w:b/>
          <w:bCs/>
        </w:rPr>
        <w:t xml:space="preserve"> </w:t>
      </w:r>
      <w:r w:rsidRPr="00B0582C">
        <w:rPr>
          <w:b/>
        </w:rPr>
        <w:t>вопросам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12-6/пз-н:</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29" w:type="dxa"/>
            <w:shd w:val="clear" w:color="auto" w:fill="auto"/>
            <w:vAlign w:val="bottom"/>
          </w:tcPr>
          <w:p w:rsidR="000E69A5" w:rsidRPr="00B0582C" w:rsidRDefault="000E69A5" w:rsidP="00A4657A">
            <w:pPr>
              <w:keepNext/>
              <w:spacing w:before="40" w:after="40"/>
              <w:jc w:val="right"/>
            </w:pPr>
            <w:r w:rsidRPr="00B0582C">
              <w:rPr>
                <w:lang w:val="en-US"/>
              </w:rPr>
              <w:t xml:space="preserve">1 774 </w:t>
            </w:r>
            <w:r w:rsidRPr="00B0582C">
              <w:t>348</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A4657A">
            <w:pPr>
              <w:keepNext/>
              <w:spacing w:before="40" w:after="40"/>
              <w:jc w:val="center"/>
              <w:rPr>
                <w:b/>
                <w:bCs/>
                <w:lang w:val="en-US"/>
              </w:rPr>
            </w:pPr>
            <w:r w:rsidRPr="00B0582C">
              <w:rPr>
                <w:b/>
                <w:bCs/>
                <w:lang w:val="en-US"/>
              </w:rPr>
              <w:t>есть (99,76%)</w:t>
            </w:r>
          </w:p>
        </w:tc>
      </w:tr>
    </w:tbl>
    <w:p w:rsidR="000E69A5" w:rsidRPr="00B0582C" w:rsidRDefault="000E69A5" w:rsidP="000E69A5">
      <w:pPr>
        <w:jc w:val="both"/>
        <w:rPr>
          <w:b/>
        </w:rPr>
      </w:pPr>
      <w:r w:rsidRPr="00B0582C">
        <w:rPr>
          <w:b/>
        </w:rPr>
        <w:t xml:space="preserve">Информация о наличии кворума по </w:t>
      </w:r>
      <w:r w:rsidR="006E7FA5">
        <w:rPr>
          <w:b/>
          <w:bCs/>
        </w:rPr>
        <w:t>2,3</w:t>
      </w:r>
      <w:r w:rsidRPr="00B0582C">
        <w:rPr>
          <w:b/>
          <w:bCs/>
        </w:rPr>
        <w:t xml:space="preserve"> </w:t>
      </w:r>
      <w:r w:rsidRPr="00B0582C">
        <w:rPr>
          <w:b/>
        </w:rPr>
        <w:t>вопросу повестки дня, определенного по данным участия в общем собрании акционеров - владельцев голосующих акций, не заинтересованных в сделке**: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FD696C">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24 690</w:t>
            </w:r>
          </w:p>
          <w:p w:rsidR="000E69A5" w:rsidRPr="00B0582C" w:rsidRDefault="000E69A5" w:rsidP="00A4657A">
            <w:pPr>
              <w:keepNext/>
              <w:spacing w:before="40" w:after="40"/>
              <w:jc w:val="right"/>
              <w:rPr>
                <w:lang w:val="en-US"/>
              </w:rPr>
            </w:pPr>
          </w:p>
        </w:tc>
      </w:tr>
      <w:tr w:rsidR="000E69A5" w:rsidRPr="00B0582C" w:rsidTr="00FD696C">
        <w:trPr>
          <w:cantSplit/>
        </w:trPr>
        <w:tc>
          <w:tcPr>
            <w:tcW w:w="7521" w:type="dxa"/>
            <w:shd w:val="clear" w:color="auto" w:fill="auto"/>
          </w:tcPr>
          <w:p w:rsidR="000E69A5" w:rsidRPr="00B0582C" w:rsidRDefault="000E69A5" w:rsidP="00A4657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12-6/пз-н:</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24 690</w:t>
            </w:r>
          </w:p>
          <w:p w:rsidR="000E69A5" w:rsidRPr="00B0582C" w:rsidRDefault="000E69A5" w:rsidP="00A4657A">
            <w:pPr>
              <w:keepNext/>
              <w:spacing w:before="40" w:after="40"/>
              <w:jc w:val="right"/>
              <w:rPr>
                <w:lang w:val="en-US"/>
              </w:rPr>
            </w:pPr>
          </w:p>
        </w:tc>
      </w:tr>
      <w:tr w:rsidR="000E69A5" w:rsidRPr="00B0582C" w:rsidTr="00FD696C">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20 382</w:t>
            </w:r>
          </w:p>
          <w:p w:rsidR="000E69A5" w:rsidRPr="00B0582C" w:rsidRDefault="000E69A5" w:rsidP="00A4657A">
            <w:pPr>
              <w:keepNext/>
              <w:spacing w:before="40" w:after="40"/>
              <w:jc w:val="right"/>
              <w:rPr>
                <w:lang w:val="en-US"/>
              </w:rPr>
            </w:pPr>
          </w:p>
        </w:tc>
      </w:tr>
      <w:tr w:rsidR="000E69A5" w:rsidRPr="00B0582C" w:rsidTr="00FD696C">
        <w:trPr>
          <w:cantSplit/>
        </w:trPr>
        <w:tc>
          <w:tcPr>
            <w:tcW w:w="7521" w:type="dxa"/>
            <w:shd w:val="clear" w:color="auto" w:fill="auto"/>
          </w:tcPr>
          <w:p w:rsidR="000E69A5" w:rsidRPr="00B0582C" w:rsidRDefault="000E69A5" w:rsidP="00A4657A">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A4657A">
            <w:pPr>
              <w:keepNext/>
              <w:spacing w:before="40" w:after="40"/>
              <w:jc w:val="center"/>
              <w:rPr>
                <w:b/>
                <w:bCs/>
                <w:lang w:val="en-US"/>
              </w:rPr>
            </w:pPr>
            <w:r w:rsidRPr="00B0582C">
              <w:rPr>
                <w:b/>
                <w:bCs/>
                <w:lang w:val="en-US"/>
              </w:rPr>
              <w:t>есть (82,55%)</w:t>
            </w:r>
          </w:p>
        </w:tc>
      </w:tr>
    </w:tbl>
    <w:p w:rsidR="000E69A5" w:rsidRPr="007C3B18" w:rsidRDefault="000E69A5" w:rsidP="000E69A5">
      <w:pPr>
        <w:jc w:val="both"/>
        <w:rPr>
          <w:i/>
          <w:sz w:val="20"/>
          <w:szCs w:val="20"/>
        </w:rPr>
      </w:pPr>
      <w:r w:rsidRPr="007C3B18">
        <w:rPr>
          <w:i/>
          <w:sz w:val="20"/>
          <w:szCs w:val="20"/>
        </w:rPr>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решений по всем вопросам повестки дня имеется.</w:t>
      </w:r>
    </w:p>
    <w:p w:rsidR="00055939" w:rsidRPr="00FE0565" w:rsidRDefault="00055939" w:rsidP="00055939">
      <w:pPr>
        <w:spacing w:before="60"/>
        <w:jc w:val="center"/>
        <w:rPr>
          <w:b/>
          <w:u w:val="single"/>
        </w:rPr>
      </w:pPr>
      <w:r w:rsidRPr="00FE0565">
        <w:rPr>
          <w:b/>
          <w:u w:val="single"/>
        </w:rPr>
        <w:t>Повестка дня внеочередного общего собрания акционеров:</w:t>
      </w:r>
    </w:p>
    <w:p w:rsidR="004017EE" w:rsidRPr="00FE0565" w:rsidRDefault="004017EE" w:rsidP="00055939">
      <w:pPr>
        <w:spacing w:before="60"/>
        <w:jc w:val="center"/>
        <w:rPr>
          <w:b/>
          <w:u w:val="single"/>
        </w:rPr>
      </w:pPr>
    </w:p>
    <w:p w:rsidR="008F5BFE" w:rsidRPr="00FC68C3" w:rsidRDefault="008F5BFE" w:rsidP="008F5BFE">
      <w:pPr>
        <w:numPr>
          <w:ilvl w:val="3"/>
          <w:numId w:val="4"/>
        </w:numPr>
        <w:tabs>
          <w:tab w:val="clear" w:pos="2880"/>
        </w:tabs>
        <w:ind w:left="426" w:hanging="426"/>
        <w:jc w:val="both"/>
        <w:rPr>
          <w:iCs/>
          <w:sz w:val="22"/>
          <w:szCs w:val="22"/>
        </w:rPr>
      </w:pPr>
      <w:r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 xml:space="preserve">Возобновляемой рамочной </w:t>
      </w:r>
      <w:r w:rsidRPr="00FC68C3">
        <w:rPr>
          <w:iCs/>
          <w:sz w:val="22"/>
          <w:szCs w:val="22"/>
        </w:rPr>
        <w:lastRenderedPageBreak/>
        <w:t>кредитной линии с дифференцированными ставками между АО «ГИДРОМАШСЕРВИС» и ПАО Сбербанк.</w:t>
      </w:r>
    </w:p>
    <w:p w:rsidR="008F5BFE" w:rsidRPr="00FC68C3" w:rsidRDefault="008F5BFE" w:rsidP="008F5BFE">
      <w:pPr>
        <w:numPr>
          <w:ilvl w:val="3"/>
          <w:numId w:val="4"/>
        </w:numPr>
        <w:tabs>
          <w:tab w:val="clear" w:pos="2880"/>
        </w:tabs>
        <w:ind w:left="426" w:hanging="426"/>
        <w:jc w:val="both"/>
        <w:rPr>
          <w:sz w:val="22"/>
          <w:szCs w:val="22"/>
        </w:rPr>
      </w:pPr>
      <w:r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Возобновляемой рамочной кредитной линии с дифференцированными ставками между АО «ГМС Нефтемаш» и ПАО Сбербанк.</w:t>
      </w:r>
    </w:p>
    <w:p w:rsidR="008F5BFE" w:rsidRPr="00FC68C3" w:rsidRDefault="008F5BFE" w:rsidP="008F5BFE">
      <w:pPr>
        <w:numPr>
          <w:ilvl w:val="3"/>
          <w:numId w:val="4"/>
        </w:numPr>
        <w:tabs>
          <w:tab w:val="clear" w:pos="2880"/>
        </w:tabs>
        <w:ind w:left="426" w:hanging="426"/>
        <w:jc w:val="both"/>
        <w:rPr>
          <w:sz w:val="22"/>
          <w:szCs w:val="22"/>
        </w:rPr>
      </w:pPr>
      <w:r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Возобновляемой кредитной линии между АО «ГМС Нефтемаш» и ПАО Сбербанк.</w:t>
      </w:r>
    </w:p>
    <w:p w:rsidR="008F5BFE" w:rsidRPr="00FC68C3" w:rsidRDefault="008F5BFE" w:rsidP="008F5BFE">
      <w:pPr>
        <w:numPr>
          <w:ilvl w:val="3"/>
          <w:numId w:val="4"/>
        </w:numPr>
        <w:tabs>
          <w:tab w:val="clear" w:pos="2880"/>
        </w:tabs>
        <w:ind w:left="426" w:hanging="426"/>
        <w:jc w:val="both"/>
        <w:rPr>
          <w:sz w:val="22"/>
          <w:szCs w:val="22"/>
        </w:rPr>
      </w:pPr>
      <w:r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Возобновляемой рамочной кредитной линии с дифференцированными ставками между АО «ГМС Ливгидромаш» и ПАО Сбербанк.</w:t>
      </w:r>
    </w:p>
    <w:p w:rsidR="008F5BFE" w:rsidRPr="00FC68C3" w:rsidRDefault="008F5BFE" w:rsidP="008F5BFE">
      <w:pPr>
        <w:numPr>
          <w:ilvl w:val="3"/>
          <w:numId w:val="4"/>
        </w:numPr>
        <w:tabs>
          <w:tab w:val="clear" w:pos="2880"/>
        </w:tabs>
        <w:ind w:left="426" w:hanging="426"/>
        <w:jc w:val="both"/>
        <w:rPr>
          <w:sz w:val="22"/>
          <w:szCs w:val="22"/>
        </w:rPr>
      </w:pPr>
      <w:r w:rsidRPr="00FC68C3">
        <w:rPr>
          <w:sz w:val="22"/>
          <w:szCs w:val="22"/>
        </w:rPr>
        <w:t xml:space="preserve">О принятии решения о согласии на совершение крупной сделки – заключении </w:t>
      </w:r>
      <w:r w:rsidRPr="00FC68C3">
        <w:rPr>
          <w:iCs/>
          <w:sz w:val="22"/>
          <w:szCs w:val="22"/>
        </w:rPr>
        <w:t>Возобновляемой рамочной кредитной линии с дифференцированными ставками между АО «Сибнефтемаш» и ПАО Сбербанк.</w:t>
      </w:r>
      <w:r w:rsidRPr="00FC68C3">
        <w:rPr>
          <w:sz w:val="22"/>
          <w:szCs w:val="22"/>
        </w:rPr>
        <w:t xml:space="preserve"> </w:t>
      </w:r>
    </w:p>
    <w:p w:rsidR="008F5BFE" w:rsidRPr="00FC68C3" w:rsidRDefault="008F5BFE" w:rsidP="008F5BFE">
      <w:pPr>
        <w:numPr>
          <w:ilvl w:val="3"/>
          <w:numId w:val="4"/>
        </w:numPr>
        <w:tabs>
          <w:tab w:val="clear" w:pos="2880"/>
        </w:tabs>
        <w:ind w:left="426" w:hanging="426"/>
        <w:jc w:val="both"/>
        <w:rPr>
          <w:sz w:val="22"/>
          <w:szCs w:val="22"/>
        </w:rPr>
      </w:pPr>
      <w:r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Возобновляемой рамочной кредитной линии с дифференцированными ставками между ОАО «Казанькомпрессормаш» и ПАО Сбербанк.</w:t>
      </w:r>
    </w:p>
    <w:p w:rsidR="00733922" w:rsidRDefault="00733922" w:rsidP="00055939">
      <w:pPr>
        <w:spacing w:before="60"/>
        <w:rPr>
          <w:b/>
          <w:sz w:val="22"/>
          <w:szCs w:val="22"/>
        </w:rPr>
      </w:pPr>
    </w:p>
    <w:p w:rsidR="00055939" w:rsidRPr="00C259A4" w:rsidRDefault="00055939" w:rsidP="00055939">
      <w:pPr>
        <w:jc w:val="center"/>
        <w:rPr>
          <w:b/>
          <w:u w:val="single"/>
        </w:rPr>
      </w:pPr>
      <w:r w:rsidRPr="00C259A4">
        <w:rPr>
          <w:b/>
          <w:u w:val="single"/>
        </w:rPr>
        <w:t>Результат голосования и формулировка решения</w:t>
      </w:r>
    </w:p>
    <w:p w:rsidR="00055939" w:rsidRPr="00C259A4" w:rsidRDefault="00055939" w:rsidP="00055939">
      <w:pPr>
        <w:jc w:val="center"/>
        <w:rPr>
          <w:b/>
          <w:u w:val="single"/>
        </w:rPr>
      </w:pPr>
      <w:r w:rsidRPr="00C259A4">
        <w:rPr>
          <w:b/>
          <w:u w:val="single"/>
        </w:rPr>
        <w:t>по вопросам повестки дня внеочередного общего собрания акционеров Общества:</w:t>
      </w:r>
    </w:p>
    <w:p w:rsidR="00D43D61" w:rsidRPr="00D43D61" w:rsidRDefault="001C2EAA" w:rsidP="00D43D61">
      <w:pPr>
        <w:spacing w:before="120" w:after="120"/>
        <w:jc w:val="both"/>
        <w:rPr>
          <w:b/>
          <w:caps/>
        </w:rPr>
      </w:pPr>
      <w:r w:rsidRPr="00C259A4">
        <w:rPr>
          <w:b/>
          <w:caps/>
        </w:rPr>
        <w:t xml:space="preserve">По вопросу № 1: </w:t>
      </w:r>
      <w:r w:rsidR="00D43D61"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00D43D61" w:rsidRPr="00FC68C3">
        <w:rPr>
          <w:iCs/>
          <w:sz w:val="22"/>
          <w:szCs w:val="22"/>
        </w:rPr>
        <w:t>Возобновляемой рамочной кредитной линии с дифференцированными ставками между АО «ГИДРОМАШСЕРВИС» и ПАО Сбербанк.</w:t>
      </w:r>
    </w:p>
    <w:p w:rsidR="00EA1B2E" w:rsidRPr="005D3318" w:rsidRDefault="00EA1B2E" w:rsidP="00EA1B2E">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A1B2E"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A1B2E" w:rsidRDefault="00EA1B2E" w:rsidP="00C747F6">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sz w:val="22"/>
                <w:szCs w:val="22"/>
              </w:rPr>
            </w:pPr>
            <w:r>
              <w:rPr>
                <w:sz w:val="22"/>
                <w:szCs w:val="22"/>
              </w:rPr>
              <w:t>Сделка с заинтересованностью</w:t>
            </w:r>
          </w:p>
        </w:tc>
      </w:tr>
      <w:tr w:rsidR="00EA1B2E"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1B2E" w:rsidRDefault="00EA1B2E" w:rsidP="00C747F6">
            <w:pPr>
              <w:overflowPunct w:val="0"/>
              <w:autoSpaceDE w:val="0"/>
              <w:autoSpaceDN w:val="0"/>
              <w:adjustRightInd w:val="0"/>
              <w:jc w:val="center"/>
              <w:rPr>
                <w:b/>
                <w:sz w:val="22"/>
                <w:szCs w:val="22"/>
              </w:rPr>
            </w:pPr>
            <w:r>
              <w:rPr>
                <w:b/>
                <w:sz w:val="22"/>
                <w:szCs w:val="22"/>
              </w:rPr>
              <w:t>%</w:t>
            </w:r>
          </w:p>
        </w:tc>
      </w:tr>
      <w:tr w:rsidR="00EA1B2E"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1B2E" w:rsidRPr="00310CE2" w:rsidRDefault="00EA1B2E" w:rsidP="00C747F6">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A1B2E" w:rsidRDefault="00EA1B2E" w:rsidP="00C747F6">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EA1B2E" w:rsidRDefault="00EA1B2E" w:rsidP="00C747F6">
            <w:pPr>
              <w:overflowPunct w:val="0"/>
              <w:autoSpaceDE w:val="0"/>
              <w:autoSpaceDN w:val="0"/>
              <w:adjustRightInd w:val="0"/>
              <w:jc w:val="right"/>
              <w:rPr>
                <w:bCs/>
                <w:sz w:val="22"/>
                <w:szCs w:val="22"/>
              </w:rPr>
            </w:pPr>
            <w:r>
              <w:rPr>
                <w:bCs/>
                <w:sz w:val="22"/>
                <w:szCs w:val="22"/>
              </w:rPr>
              <w:t>100</w:t>
            </w:r>
          </w:p>
        </w:tc>
      </w:tr>
      <w:tr w:rsidR="00EA1B2E"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1B2E" w:rsidRDefault="00EA1B2E"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1B2E" w:rsidRDefault="00EA1B2E" w:rsidP="00C747F6">
            <w:pPr>
              <w:overflowPunct w:val="0"/>
              <w:autoSpaceDE w:val="0"/>
              <w:autoSpaceDN w:val="0"/>
              <w:adjustRightInd w:val="0"/>
              <w:jc w:val="right"/>
              <w:rPr>
                <w:sz w:val="22"/>
                <w:szCs w:val="22"/>
              </w:rPr>
            </w:pPr>
            <w:r>
              <w:rPr>
                <w:sz w:val="22"/>
                <w:szCs w:val="22"/>
              </w:rPr>
              <w:t>0</w:t>
            </w:r>
          </w:p>
        </w:tc>
      </w:tr>
      <w:tr w:rsidR="00EA1B2E"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1B2E" w:rsidRDefault="00EA1B2E"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1B2E" w:rsidRDefault="00EA1B2E"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1B2E" w:rsidRDefault="00EA1B2E" w:rsidP="00C747F6">
            <w:pPr>
              <w:overflowPunct w:val="0"/>
              <w:autoSpaceDE w:val="0"/>
              <w:autoSpaceDN w:val="0"/>
              <w:adjustRightInd w:val="0"/>
              <w:jc w:val="right"/>
              <w:rPr>
                <w:sz w:val="22"/>
                <w:szCs w:val="22"/>
              </w:rPr>
            </w:pPr>
            <w:r>
              <w:rPr>
                <w:sz w:val="22"/>
                <w:szCs w:val="22"/>
              </w:rPr>
              <w:t>0</w:t>
            </w:r>
          </w:p>
        </w:tc>
      </w:tr>
    </w:tbl>
    <w:p w:rsidR="00EA1B2E" w:rsidRDefault="00EA1B2E" w:rsidP="00EA1B2E">
      <w:pPr>
        <w:tabs>
          <w:tab w:val="left" w:pos="9000"/>
        </w:tabs>
        <w:rPr>
          <w:b/>
          <w:bCs/>
          <w:sz w:val="20"/>
          <w:szCs w:val="20"/>
        </w:rPr>
      </w:pPr>
    </w:p>
    <w:p w:rsidR="00EA1B2E" w:rsidRPr="001812D3" w:rsidRDefault="00EA1B2E" w:rsidP="00EA1B2E">
      <w:pPr>
        <w:tabs>
          <w:tab w:val="left" w:pos="9000"/>
        </w:tabs>
        <w:rPr>
          <w:b/>
          <w:bCs/>
        </w:rPr>
      </w:pPr>
      <w:r w:rsidRPr="001812D3">
        <w:rPr>
          <w:b/>
          <w:bCs/>
        </w:rPr>
        <w:t>Кворум для принятия решения по данному вопросу имеется.</w:t>
      </w:r>
    </w:p>
    <w:p w:rsidR="00EA1B2E" w:rsidRDefault="00EA1B2E" w:rsidP="00EA1B2E">
      <w:pPr>
        <w:tabs>
          <w:tab w:val="left" w:pos="2660"/>
          <w:tab w:val="left" w:pos="10704"/>
        </w:tabs>
        <w:spacing w:before="120"/>
        <w:jc w:val="both"/>
      </w:pPr>
      <w:r w:rsidRPr="001812D3">
        <w:rPr>
          <w:b/>
        </w:rPr>
        <w:t>Принято решение</w:t>
      </w:r>
      <w:r w:rsidRPr="001812D3">
        <w:t xml:space="preserve">: </w:t>
      </w:r>
    </w:p>
    <w:p w:rsidR="00462BC2" w:rsidRPr="00FC68C3" w:rsidRDefault="00462BC2" w:rsidP="00396547">
      <w:pPr>
        <w:pStyle w:val="21"/>
        <w:ind w:left="0"/>
        <w:jc w:val="both"/>
        <w:rPr>
          <w:sz w:val="22"/>
          <w:szCs w:val="22"/>
        </w:rPr>
      </w:pPr>
      <w:r w:rsidRPr="00FC68C3">
        <w:rPr>
          <w:sz w:val="22"/>
          <w:szCs w:val="22"/>
        </w:rPr>
        <w:t>Принять решение о согласии на совершение крупной сделки, в совершении которой имеется заинтересованность, по заключению Договора поручительства к Возобновляемой рамочной кредитной линии с дифференцированными ставками на следующих условиях:</w:t>
      </w:r>
    </w:p>
    <w:p w:rsidR="00462BC2" w:rsidRPr="00396547" w:rsidRDefault="00462BC2" w:rsidP="00396547">
      <w:pPr>
        <w:pStyle w:val="21"/>
        <w:ind w:left="0"/>
        <w:jc w:val="both"/>
        <w:rPr>
          <w:sz w:val="22"/>
          <w:szCs w:val="22"/>
        </w:rPr>
      </w:pPr>
      <w:r w:rsidRPr="00396547">
        <w:rPr>
          <w:sz w:val="22"/>
          <w:szCs w:val="22"/>
        </w:rPr>
        <w:t>Стороны сделки:</w:t>
      </w:r>
    </w:p>
    <w:p w:rsidR="00462BC2" w:rsidRPr="00396547" w:rsidRDefault="00462BC2" w:rsidP="00396547">
      <w:pPr>
        <w:pStyle w:val="ac"/>
        <w:spacing w:before="0" w:beforeAutospacing="0" w:after="0" w:afterAutospacing="0"/>
        <w:contextualSpacing/>
        <w:jc w:val="both"/>
        <w:rPr>
          <w:iCs/>
          <w:sz w:val="22"/>
          <w:szCs w:val="22"/>
        </w:rPr>
      </w:pPr>
      <w:r w:rsidRPr="00396547">
        <w:rPr>
          <w:bCs/>
          <w:sz w:val="22"/>
          <w:szCs w:val="22"/>
        </w:rPr>
        <w:t xml:space="preserve">Банк: </w:t>
      </w:r>
      <w:r w:rsidRPr="00396547">
        <w:rPr>
          <w:iCs/>
          <w:sz w:val="22"/>
          <w:szCs w:val="22"/>
        </w:rPr>
        <w:t>ПАО Сбербанк;</w:t>
      </w:r>
    </w:p>
    <w:p w:rsidR="00462BC2" w:rsidRPr="00396547" w:rsidRDefault="00462BC2" w:rsidP="00396547">
      <w:pPr>
        <w:pStyle w:val="ac"/>
        <w:spacing w:before="0" w:beforeAutospacing="0" w:after="0" w:afterAutospacing="0"/>
        <w:contextualSpacing/>
        <w:jc w:val="both"/>
        <w:rPr>
          <w:iCs/>
          <w:sz w:val="22"/>
          <w:szCs w:val="22"/>
        </w:rPr>
      </w:pPr>
      <w:r w:rsidRPr="00396547">
        <w:rPr>
          <w:iCs/>
          <w:sz w:val="22"/>
          <w:szCs w:val="22"/>
        </w:rPr>
        <w:t>Заемщик: АО «ГИДРОМАШСЕРВИС»;</w:t>
      </w:r>
    </w:p>
    <w:p w:rsidR="00462BC2" w:rsidRPr="00396547" w:rsidRDefault="00462BC2" w:rsidP="00396547">
      <w:pPr>
        <w:pStyle w:val="ac"/>
        <w:spacing w:before="0" w:beforeAutospacing="0" w:after="0" w:afterAutospacing="0"/>
        <w:contextualSpacing/>
        <w:jc w:val="both"/>
        <w:rPr>
          <w:iCs/>
          <w:sz w:val="22"/>
          <w:szCs w:val="22"/>
        </w:rPr>
      </w:pPr>
      <w:r w:rsidRPr="00396547">
        <w:rPr>
          <w:iCs/>
          <w:sz w:val="22"/>
          <w:szCs w:val="22"/>
        </w:rPr>
        <w:t>Поручитель: АО «Сибнефтемаш»</w:t>
      </w:r>
    </w:p>
    <w:p w:rsidR="00462BC2" w:rsidRPr="00396547" w:rsidRDefault="00462BC2" w:rsidP="00396547">
      <w:pPr>
        <w:pStyle w:val="ac"/>
        <w:spacing w:before="0" w:beforeAutospacing="0" w:after="0" w:afterAutospacing="0"/>
        <w:contextualSpacing/>
        <w:jc w:val="both"/>
        <w:rPr>
          <w:bCs/>
          <w:sz w:val="22"/>
          <w:szCs w:val="22"/>
        </w:rPr>
      </w:pPr>
      <w:r w:rsidRPr="00396547">
        <w:rPr>
          <w:bCs/>
          <w:sz w:val="22"/>
          <w:szCs w:val="22"/>
        </w:rPr>
        <w:t>Существенные условия сделки: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61"/>
        <w:gridCol w:w="232"/>
        <w:gridCol w:w="2976"/>
        <w:gridCol w:w="3029"/>
      </w:tblGrid>
      <w:tr w:rsidR="00462BC2" w:rsidRPr="00FC68C3" w:rsidTr="00396547">
        <w:tc>
          <w:tcPr>
            <w:tcW w:w="3351" w:type="dxa"/>
            <w:gridSpan w:val="3"/>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1.</w:t>
            </w:r>
            <w:r w:rsidRPr="00FC68C3">
              <w:rPr>
                <w:rFonts w:ascii="Times New Roman" w:hAnsi="Times New Roman"/>
                <w:b/>
                <w:bCs/>
                <w:sz w:val="22"/>
                <w:szCs w:val="22"/>
              </w:rPr>
              <w:t> </w:t>
            </w:r>
            <w:r w:rsidRPr="00FC68C3">
              <w:rPr>
                <w:rFonts w:ascii="Times New Roman" w:hAnsi="Times New Roman"/>
                <w:b/>
                <w:bCs/>
                <w:sz w:val="22"/>
                <w:szCs w:val="22"/>
                <w:lang w:val="ru-RU"/>
              </w:rPr>
              <w:t>Вид сделки</w:t>
            </w:r>
          </w:p>
        </w:tc>
        <w:tc>
          <w:tcPr>
            <w:tcW w:w="6005" w:type="dxa"/>
            <w:gridSpan w:val="2"/>
            <w:tcMar>
              <w:top w:w="57" w:type="dxa"/>
              <w:left w:w="85" w:type="dxa"/>
              <w:bottom w:w="57" w:type="dxa"/>
              <w:right w:w="85" w:type="dxa"/>
            </w:tcMar>
          </w:tcPr>
          <w:p w:rsidR="00462BC2" w:rsidRPr="00FC68C3" w:rsidRDefault="00462BC2" w:rsidP="00C747F6">
            <w:pPr>
              <w:pStyle w:val="a7"/>
              <w:spacing w:before="0" w:after="0"/>
              <w:rPr>
                <w:rFonts w:ascii="Times New Roman" w:hAnsi="Times New Roman"/>
                <w:b/>
                <w:bCs/>
                <w:iCs/>
                <w:sz w:val="22"/>
                <w:szCs w:val="22"/>
                <w:lang w:val="ru-RU"/>
              </w:rPr>
            </w:pPr>
            <w:r w:rsidRPr="00FC68C3">
              <w:rPr>
                <w:rFonts w:ascii="Times New Roman" w:hAnsi="Times New Roman"/>
                <w:iCs/>
                <w:sz w:val="22"/>
                <w:szCs w:val="22"/>
                <w:lang w:val="ru-RU"/>
              </w:rPr>
              <w:t>Возобновляемая рамочная кредитная линия с дифференцированными ставками (ВРКЛДС)</w:t>
            </w:r>
          </w:p>
        </w:tc>
      </w:tr>
      <w:tr w:rsidR="00462BC2" w:rsidRPr="00FC68C3" w:rsidTr="00396547">
        <w:tc>
          <w:tcPr>
            <w:tcW w:w="3351" w:type="dxa"/>
            <w:gridSpan w:val="3"/>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2.</w:t>
            </w:r>
            <w:r w:rsidRPr="00FC68C3">
              <w:rPr>
                <w:rFonts w:ascii="Times New Roman" w:hAnsi="Times New Roman"/>
                <w:b/>
                <w:bCs/>
                <w:sz w:val="22"/>
                <w:szCs w:val="22"/>
              </w:rPr>
              <w:t> </w:t>
            </w:r>
            <w:r w:rsidRPr="00FC68C3">
              <w:rPr>
                <w:rFonts w:ascii="Times New Roman" w:hAnsi="Times New Roman"/>
                <w:b/>
                <w:bCs/>
                <w:sz w:val="22"/>
                <w:szCs w:val="22"/>
                <w:lang w:val="ru-RU"/>
              </w:rPr>
              <w:t>Заемщик</w:t>
            </w:r>
          </w:p>
        </w:tc>
        <w:tc>
          <w:tcPr>
            <w:tcW w:w="6005" w:type="dxa"/>
            <w:gridSpan w:val="2"/>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iCs/>
                <w:sz w:val="22"/>
                <w:szCs w:val="22"/>
              </w:rPr>
            </w:pPr>
            <w:r w:rsidRPr="00FC68C3">
              <w:rPr>
                <w:rFonts w:ascii="Times New Roman" w:hAnsi="Times New Roman"/>
                <w:iCs/>
                <w:sz w:val="22"/>
                <w:szCs w:val="22"/>
                <w:lang w:val="ru-RU"/>
              </w:rPr>
              <w:t>АО «ГИ</w:t>
            </w:r>
            <w:r w:rsidRPr="00FC68C3">
              <w:rPr>
                <w:rFonts w:ascii="Times New Roman" w:hAnsi="Times New Roman"/>
                <w:iCs/>
                <w:sz w:val="22"/>
                <w:szCs w:val="22"/>
              </w:rPr>
              <w:t>ДРОМАШСЕРВИС»</w:t>
            </w:r>
          </w:p>
        </w:tc>
      </w:tr>
      <w:tr w:rsidR="00462BC2" w:rsidRPr="00FC68C3" w:rsidTr="00396547">
        <w:tc>
          <w:tcPr>
            <w:tcW w:w="3351" w:type="dxa"/>
            <w:gridSpan w:val="3"/>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3. Сумма финансирования</w:t>
            </w:r>
          </w:p>
        </w:tc>
        <w:tc>
          <w:tcPr>
            <w:tcW w:w="6005" w:type="dxa"/>
            <w:gridSpan w:val="2"/>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Не более 1 000 000 000,00 рублей</w:t>
            </w:r>
          </w:p>
        </w:tc>
      </w:tr>
      <w:tr w:rsidR="00462BC2" w:rsidRPr="00FC68C3" w:rsidTr="00396547">
        <w:tc>
          <w:tcPr>
            <w:tcW w:w="3351" w:type="dxa"/>
            <w:gridSpan w:val="3"/>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4.</w:t>
            </w:r>
            <w:r w:rsidRPr="00FC68C3">
              <w:rPr>
                <w:rFonts w:ascii="Times New Roman" w:hAnsi="Times New Roman"/>
                <w:b/>
                <w:bCs/>
                <w:sz w:val="22"/>
                <w:szCs w:val="22"/>
              </w:rPr>
              <w:t> </w:t>
            </w:r>
            <w:r w:rsidRPr="00FC68C3">
              <w:rPr>
                <w:rFonts w:ascii="Times New Roman" w:hAnsi="Times New Roman"/>
                <w:b/>
                <w:bCs/>
                <w:sz w:val="22"/>
                <w:szCs w:val="22"/>
                <w:lang w:val="ru-RU"/>
              </w:rPr>
              <w:t>Цель финансирования (целевое назначение кредита)</w:t>
            </w:r>
          </w:p>
        </w:tc>
        <w:tc>
          <w:tcPr>
            <w:tcW w:w="6005" w:type="dxa"/>
            <w:gridSpan w:val="2"/>
            <w:tcMar>
              <w:top w:w="57" w:type="dxa"/>
              <w:left w:w="85" w:type="dxa"/>
              <w:bottom w:w="57" w:type="dxa"/>
              <w:right w:w="85" w:type="dxa"/>
            </w:tcMar>
          </w:tcPr>
          <w:p w:rsidR="00462BC2" w:rsidRPr="00FC68C3" w:rsidRDefault="00462BC2" w:rsidP="00C747F6">
            <w:pPr>
              <w:pStyle w:val="a7"/>
              <w:spacing w:before="0" w:after="0"/>
              <w:rPr>
                <w:rFonts w:ascii="Times New Roman" w:hAnsi="Times New Roman"/>
                <w:i/>
                <w:iCs/>
                <w:sz w:val="22"/>
                <w:szCs w:val="22"/>
                <w:lang w:val="ru-RU"/>
              </w:rPr>
            </w:pPr>
            <w:r w:rsidRPr="00FC68C3">
              <w:rPr>
                <w:rFonts w:ascii="Times New Roman" w:hAnsi="Times New Roman"/>
                <w:iCs/>
                <w:sz w:val="22"/>
                <w:szCs w:val="22"/>
                <w:lang w:val="ru-RU"/>
              </w:rPr>
              <w:t xml:space="preserve">Осуществление текущей деятельности, приобретение оборотных и внеоборотных активов, погашение текущей </w:t>
            </w:r>
            <w:r w:rsidRPr="00FC68C3">
              <w:rPr>
                <w:rFonts w:ascii="Times New Roman" w:hAnsi="Times New Roman"/>
                <w:iCs/>
                <w:sz w:val="22"/>
                <w:szCs w:val="22"/>
                <w:lang w:val="ru-RU"/>
              </w:rPr>
              <w:lastRenderedPageBreak/>
              <w:t xml:space="preserve">задолженности по кредитам и займам, предоставление займов компаниям, </w:t>
            </w:r>
            <w:r w:rsidRPr="00FC68C3">
              <w:rPr>
                <w:rFonts w:ascii="Times New Roman" w:hAnsi="Times New Roman"/>
                <w:sz w:val="22"/>
                <w:szCs w:val="22"/>
                <w:lang w:val="ru-RU"/>
              </w:rPr>
              <w:t xml:space="preserve">входящим в состав Группы компаний </w:t>
            </w:r>
            <w:r w:rsidRPr="00FC68C3">
              <w:rPr>
                <w:rFonts w:ascii="Times New Roman" w:hAnsi="Times New Roman"/>
                <w:sz w:val="22"/>
                <w:szCs w:val="22"/>
              </w:rPr>
              <w:t>HMS</w:t>
            </w:r>
            <w:r w:rsidRPr="00FC68C3">
              <w:rPr>
                <w:rFonts w:ascii="Times New Roman" w:hAnsi="Times New Roman"/>
                <w:sz w:val="22"/>
                <w:szCs w:val="22"/>
                <w:lang w:val="ru-RU"/>
              </w:rPr>
              <w:t xml:space="preserve"> </w:t>
            </w:r>
            <w:r w:rsidRPr="00FC68C3">
              <w:rPr>
                <w:rFonts w:ascii="Times New Roman" w:hAnsi="Times New Roman"/>
                <w:sz w:val="22"/>
                <w:szCs w:val="22"/>
              </w:rPr>
              <w:t>Group</w:t>
            </w:r>
            <w:r w:rsidRPr="00FC68C3">
              <w:rPr>
                <w:rFonts w:ascii="Times New Roman" w:hAnsi="Times New Roman"/>
                <w:iCs/>
                <w:sz w:val="22"/>
                <w:szCs w:val="22"/>
                <w:lang w:val="ru-RU"/>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C68C3">
              <w:rPr>
                <w:rFonts w:ascii="Times New Roman" w:hAnsi="Times New Roman"/>
                <w:iCs/>
                <w:sz w:val="22"/>
                <w:szCs w:val="22"/>
              </w:rPr>
              <w:t>HMS</w:t>
            </w:r>
            <w:r w:rsidRPr="00FC68C3">
              <w:rPr>
                <w:rFonts w:ascii="Times New Roman" w:hAnsi="Times New Roman"/>
                <w:iCs/>
                <w:sz w:val="22"/>
                <w:szCs w:val="22"/>
                <w:lang w:val="ru-RU"/>
              </w:rPr>
              <w:t xml:space="preserve"> </w:t>
            </w:r>
            <w:r w:rsidRPr="00FC68C3">
              <w:rPr>
                <w:rFonts w:ascii="Times New Roman" w:hAnsi="Times New Roman"/>
                <w:iCs/>
                <w:sz w:val="22"/>
                <w:szCs w:val="22"/>
              </w:rPr>
              <w:t>Group</w:t>
            </w:r>
          </w:p>
        </w:tc>
      </w:tr>
      <w:tr w:rsidR="00462BC2" w:rsidRPr="00FC68C3" w:rsidTr="00396547">
        <w:tc>
          <w:tcPr>
            <w:tcW w:w="3351" w:type="dxa"/>
            <w:gridSpan w:val="3"/>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lastRenderedPageBreak/>
              <w:t>5. Срок финансирования</w:t>
            </w:r>
          </w:p>
        </w:tc>
        <w:tc>
          <w:tcPr>
            <w:tcW w:w="6005" w:type="dxa"/>
            <w:gridSpan w:val="2"/>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sz w:val="22"/>
                <w:szCs w:val="22"/>
              </w:rPr>
            </w:pPr>
            <w:r w:rsidRPr="00FC68C3">
              <w:rPr>
                <w:rFonts w:ascii="Times New Roman" w:hAnsi="Times New Roman"/>
                <w:iCs/>
                <w:sz w:val="22"/>
                <w:szCs w:val="22"/>
              </w:rPr>
              <w:t>Не более 60 месяцев</w:t>
            </w:r>
          </w:p>
        </w:tc>
      </w:tr>
      <w:tr w:rsidR="00462BC2" w:rsidRPr="00FC68C3" w:rsidTr="00396547">
        <w:trPr>
          <w:trHeight w:val="28"/>
        </w:trPr>
        <w:tc>
          <w:tcPr>
            <w:tcW w:w="3351" w:type="dxa"/>
            <w:gridSpan w:val="3"/>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6. Погашение основного долга</w:t>
            </w:r>
          </w:p>
        </w:tc>
        <w:tc>
          <w:tcPr>
            <w:tcW w:w="6005" w:type="dxa"/>
            <w:gridSpan w:val="2"/>
            <w:tcMar>
              <w:top w:w="57" w:type="dxa"/>
              <w:left w:w="85" w:type="dxa"/>
              <w:bottom w:w="57" w:type="dxa"/>
              <w:right w:w="85" w:type="dxa"/>
            </w:tcMar>
            <w:vAlign w:val="center"/>
          </w:tcPr>
          <w:p w:rsidR="00462BC2" w:rsidRPr="00FC68C3" w:rsidRDefault="00462BC2" w:rsidP="00C747F6">
            <w:pPr>
              <w:rPr>
                <w:i/>
                <w:iCs/>
                <w:sz w:val="22"/>
                <w:szCs w:val="22"/>
              </w:rPr>
            </w:pPr>
            <w:r w:rsidRPr="00FC68C3">
              <w:rPr>
                <w:sz w:val="22"/>
                <w:szCs w:val="22"/>
              </w:rPr>
              <w:t>Единовременно, в конце срока Договора</w:t>
            </w:r>
          </w:p>
        </w:tc>
      </w:tr>
      <w:tr w:rsidR="00462BC2" w:rsidRPr="00FC68C3" w:rsidTr="00396547">
        <w:tc>
          <w:tcPr>
            <w:tcW w:w="9356" w:type="dxa"/>
            <w:gridSpan w:val="5"/>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7. Процентная ставка</w:t>
            </w:r>
          </w:p>
        </w:tc>
      </w:tr>
      <w:tr w:rsidR="00462BC2" w:rsidRPr="00FC68C3" w:rsidTr="00396547">
        <w:trPr>
          <w:trHeight w:val="817"/>
        </w:trPr>
        <w:tc>
          <w:tcPr>
            <w:tcW w:w="6327" w:type="dxa"/>
            <w:gridSpan w:val="4"/>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Фиксированная</w:t>
            </w:r>
          </w:p>
          <w:p w:rsidR="00462BC2" w:rsidRPr="00FC68C3" w:rsidRDefault="00462BC2"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при утверждении кредитных сделок, по которым не планируется устанавливать абсолютные величины процентных ставок</w:t>
            </w:r>
          </w:p>
        </w:tc>
        <w:tc>
          <w:tcPr>
            <w:tcW w:w="3029" w:type="dxa"/>
            <w:tcMar>
              <w:top w:w="57" w:type="dxa"/>
              <w:left w:w="85" w:type="dxa"/>
              <w:bottom w:w="57" w:type="dxa"/>
              <w:right w:w="85" w:type="dxa"/>
            </w:tcMar>
          </w:tcPr>
          <w:p w:rsidR="00462BC2" w:rsidRPr="00FC68C3" w:rsidRDefault="00462BC2" w:rsidP="00C747F6">
            <w:pPr>
              <w:tabs>
                <w:tab w:val="num" w:pos="145"/>
              </w:tabs>
              <w:rPr>
                <w:sz w:val="22"/>
                <w:szCs w:val="22"/>
              </w:rPr>
            </w:pPr>
            <w:r w:rsidRPr="00FC68C3">
              <w:rPr>
                <w:sz w:val="22"/>
                <w:szCs w:val="22"/>
              </w:rPr>
              <w:t>размер Максимальной процентной ставки – 30% годовых</w:t>
            </w:r>
          </w:p>
        </w:tc>
      </w:tr>
      <w:tr w:rsidR="00462BC2" w:rsidRPr="00FC68C3" w:rsidTr="00396547">
        <w:tc>
          <w:tcPr>
            <w:tcW w:w="3119" w:type="dxa"/>
            <w:gridSpan w:val="2"/>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Порядок уплаты</w:t>
            </w:r>
          </w:p>
        </w:tc>
        <w:tc>
          <w:tcPr>
            <w:tcW w:w="6237" w:type="dxa"/>
            <w:gridSpan w:val="3"/>
            <w:tcMar>
              <w:top w:w="57" w:type="dxa"/>
              <w:left w:w="85" w:type="dxa"/>
              <w:bottom w:w="57" w:type="dxa"/>
              <w:right w:w="85" w:type="dxa"/>
            </w:tcMar>
          </w:tcPr>
          <w:p w:rsidR="00462BC2" w:rsidRPr="00FC68C3" w:rsidRDefault="00462BC2" w:rsidP="00C747F6">
            <w:pPr>
              <w:pStyle w:val="a7"/>
              <w:spacing w:before="0" w:after="0"/>
              <w:rPr>
                <w:rFonts w:ascii="Times New Roman" w:hAnsi="Times New Roman"/>
                <w:i/>
                <w:iCs/>
                <w:sz w:val="22"/>
                <w:szCs w:val="22"/>
                <w:lang w:val="ru-RU"/>
              </w:rPr>
            </w:pPr>
            <w:r w:rsidRPr="00FC68C3">
              <w:rPr>
                <w:rFonts w:ascii="Times New Roman" w:hAnsi="Times New Roman"/>
                <w:sz w:val="22"/>
                <w:szCs w:val="22"/>
                <w:lang w:val="ru-RU"/>
              </w:rPr>
              <w:t>Ежемесячно «28» числа и в дату полного погашения кредита</w:t>
            </w:r>
          </w:p>
        </w:tc>
      </w:tr>
      <w:tr w:rsidR="00462BC2" w:rsidRPr="00FC68C3" w:rsidTr="00396547">
        <w:tc>
          <w:tcPr>
            <w:tcW w:w="6327" w:type="dxa"/>
            <w:gridSpan w:val="4"/>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8. Неустойки</w:t>
            </w:r>
          </w:p>
        </w:tc>
        <w:tc>
          <w:tcPr>
            <w:tcW w:w="3029" w:type="dxa"/>
            <w:tcMar>
              <w:top w:w="57" w:type="dxa"/>
              <w:left w:w="85" w:type="dxa"/>
              <w:bottom w:w="57" w:type="dxa"/>
              <w:right w:w="85" w:type="dxa"/>
            </w:tcMar>
          </w:tcPr>
          <w:p w:rsidR="00462BC2" w:rsidRPr="00FC68C3" w:rsidRDefault="00462BC2" w:rsidP="00C747F6">
            <w:pPr>
              <w:pStyle w:val="a"/>
              <w:numPr>
                <w:ilvl w:val="0"/>
                <w:numId w:val="0"/>
              </w:numPr>
              <w:jc w:val="left"/>
              <w:rPr>
                <w:rFonts w:ascii="Times New Roman" w:hAnsi="Times New Roman" w:cs="Times New Roman"/>
                <w:b/>
                <w:bCs/>
                <w:sz w:val="22"/>
                <w:szCs w:val="22"/>
              </w:rPr>
            </w:pPr>
            <w:r w:rsidRPr="00FC68C3">
              <w:rPr>
                <w:rFonts w:ascii="Times New Roman" w:hAnsi="Times New Roman" w:cs="Times New Roman"/>
                <w:b/>
                <w:bCs/>
                <w:sz w:val="22"/>
                <w:szCs w:val="22"/>
              </w:rPr>
              <w:t>Размер</w:t>
            </w:r>
          </w:p>
        </w:tc>
      </w:tr>
      <w:tr w:rsidR="00462BC2" w:rsidRPr="00FC68C3" w:rsidTr="00396547">
        <w:trPr>
          <w:trHeight w:val="598"/>
        </w:trPr>
        <w:tc>
          <w:tcPr>
            <w:tcW w:w="6327" w:type="dxa"/>
            <w:gridSpan w:val="4"/>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sz w:val="22"/>
                <w:szCs w:val="22"/>
                <w:lang w:val="ru-RU"/>
              </w:rPr>
            </w:pPr>
            <w:r w:rsidRPr="00FC68C3">
              <w:rPr>
                <w:rFonts w:ascii="Times New Roman" w:hAnsi="Times New Roman"/>
                <w:b/>
                <w:sz w:val="22"/>
                <w:szCs w:val="22"/>
                <w:lang w:val="ru-RU"/>
              </w:rPr>
              <w:t>8.1.</w:t>
            </w:r>
            <w:r w:rsidRPr="00FC68C3">
              <w:rPr>
                <w:rFonts w:ascii="Times New Roman" w:hAnsi="Times New Roman"/>
                <w:b/>
                <w:sz w:val="22"/>
                <w:szCs w:val="22"/>
              </w:rPr>
              <w:t> </w:t>
            </w:r>
            <w:r w:rsidRPr="00FC68C3">
              <w:rPr>
                <w:rFonts w:ascii="Times New Roman" w:hAnsi="Times New Roman"/>
                <w:b/>
                <w:sz w:val="22"/>
                <w:szCs w:val="22"/>
                <w:lang w:val="ru-RU"/>
              </w:rPr>
              <w:t>За несвоевременное перечисление платежа в погашение кредита и/или уплату процентов и/или комиссионных платежей</w:t>
            </w:r>
          </w:p>
        </w:tc>
        <w:tc>
          <w:tcPr>
            <w:tcW w:w="3029" w:type="dxa"/>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Ключевая ставка Банка России, увеличенная в 2 раза</w:t>
            </w:r>
          </w:p>
        </w:tc>
      </w:tr>
      <w:tr w:rsidR="00462BC2" w:rsidRPr="00FC68C3" w:rsidTr="00396547">
        <w:tc>
          <w:tcPr>
            <w:tcW w:w="2358" w:type="dxa"/>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sz w:val="22"/>
                <w:szCs w:val="22"/>
              </w:rPr>
            </w:pPr>
            <w:r w:rsidRPr="00FC68C3">
              <w:rPr>
                <w:rFonts w:ascii="Times New Roman" w:hAnsi="Times New Roman"/>
                <w:b/>
                <w:sz w:val="22"/>
                <w:szCs w:val="22"/>
              </w:rPr>
              <w:t>8.2. Иные неустойки</w:t>
            </w:r>
          </w:p>
        </w:tc>
        <w:tc>
          <w:tcPr>
            <w:tcW w:w="6998" w:type="dxa"/>
            <w:gridSpan w:val="4"/>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sz w:val="22"/>
                <w:szCs w:val="22"/>
                <w:lang w:val="ru-RU"/>
              </w:rPr>
            </w:pPr>
            <w:r w:rsidRPr="00FC68C3">
              <w:rPr>
                <w:rFonts w:ascii="Times New Roman" w:hAnsi="Times New Roman"/>
                <w:sz w:val="22"/>
                <w:szCs w:val="22"/>
                <w:lang w:val="ru-RU"/>
              </w:rPr>
              <w:t>Не более 500</w:t>
            </w:r>
            <w:r w:rsidRPr="00FC68C3">
              <w:rPr>
                <w:rFonts w:ascii="Times New Roman" w:hAnsi="Times New Roman"/>
                <w:sz w:val="22"/>
                <w:szCs w:val="22"/>
              </w:rPr>
              <w:t> </w:t>
            </w:r>
            <w:r w:rsidRPr="00FC68C3">
              <w:rPr>
                <w:rFonts w:ascii="Times New Roman" w:hAnsi="Times New Roman"/>
                <w:sz w:val="22"/>
                <w:szCs w:val="22"/>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462BC2" w:rsidRPr="00FC68C3" w:rsidTr="00396547">
        <w:trPr>
          <w:trHeight w:val="1705"/>
        </w:trPr>
        <w:tc>
          <w:tcPr>
            <w:tcW w:w="2358" w:type="dxa"/>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9. Прочие условия</w:t>
            </w:r>
          </w:p>
        </w:tc>
        <w:tc>
          <w:tcPr>
            <w:tcW w:w="6998" w:type="dxa"/>
            <w:gridSpan w:val="4"/>
            <w:tcMar>
              <w:top w:w="57" w:type="dxa"/>
              <w:left w:w="85" w:type="dxa"/>
              <w:bottom w:w="57" w:type="dxa"/>
              <w:right w:w="85" w:type="dxa"/>
            </w:tcMar>
          </w:tcPr>
          <w:p w:rsidR="00462BC2" w:rsidRPr="00FC68C3" w:rsidRDefault="00462BC2" w:rsidP="00C747F6">
            <w:pPr>
              <w:ind w:firstLine="284"/>
              <w:jc w:val="both"/>
              <w:rPr>
                <w:sz w:val="22"/>
                <w:szCs w:val="22"/>
              </w:rPr>
            </w:pPr>
            <w:r w:rsidRPr="00FC68C3">
              <w:rPr>
                <w:sz w:val="22"/>
                <w:szCs w:val="22"/>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462BC2" w:rsidRPr="00FC68C3" w:rsidRDefault="00462BC2" w:rsidP="00462BC2">
            <w:pPr>
              <w:numPr>
                <w:ilvl w:val="0"/>
                <w:numId w:val="6"/>
              </w:numPr>
              <w:jc w:val="both"/>
              <w:rPr>
                <w:sz w:val="22"/>
                <w:szCs w:val="22"/>
              </w:rPr>
            </w:pPr>
            <w:r w:rsidRPr="00FC68C3">
              <w:rPr>
                <w:sz w:val="22"/>
                <w:szCs w:val="22"/>
              </w:rPr>
              <w:t>Net Debt / Ebitda по Группе компаний HMS Group менее 3,0;</w:t>
            </w:r>
          </w:p>
          <w:p w:rsidR="00462BC2" w:rsidRPr="00FC68C3" w:rsidRDefault="00462BC2" w:rsidP="00462BC2">
            <w:pPr>
              <w:numPr>
                <w:ilvl w:val="0"/>
                <w:numId w:val="6"/>
              </w:numPr>
              <w:jc w:val="both"/>
              <w:rPr>
                <w:sz w:val="22"/>
                <w:szCs w:val="22"/>
              </w:rPr>
            </w:pPr>
            <w:r w:rsidRPr="00FC68C3">
              <w:rPr>
                <w:sz w:val="22"/>
                <w:szCs w:val="22"/>
              </w:rPr>
              <w:t>FСash/Total Debt по Группе компаний HMS Group более 1,5</w:t>
            </w:r>
          </w:p>
          <w:p w:rsidR="00462BC2" w:rsidRPr="00FC68C3" w:rsidRDefault="00462BC2" w:rsidP="00C747F6">
            <w:pPr>
              <w:pStyle w:val="ae"/>
              <w:ind w:left="602"/>
              <w:jc w:val="both"/>
              <w:rPr>
                <w:iCs/>
                <w:sz w:val="22"/>
                <w:szCs w:val="22"/>
              </w:rPr>
            </w:pPr>
            <w:r w:rsidRPr="00FC68C3">
              <w:rPr>
                <w:sz w:val="22"/>
                <w:szCs w:val="22"/>
              </w:rPr>
              <w:t>срок действия Договора автоматически продляется до 60 месяцев.</w:t>
            </w:r>
          </w:p>
        </w:tc>
      </w:tr>
      <w:tr w:rsidR="00462BC2" w:rsidRPr="00FC68C3" w:rsidTr="00396547">
        <w:trPr>
          <w:trHeight w:val="358"/>
        </w:trPr>
        <w:tc>
          <w:tcPr>
            <w:tcW w:w="2358" w:type="dxa"/>
            <w:tcMar>
              <w:top w:w="57" w:type="dxa"/>
              <w:left w:w="85" w:type="dxa"/>
              <w:bottom w:w="57" w:type="dxa"/>
              <w:right w:w="85" w:type="dxa"/>
            </w:tcMar>
          </w:tcPr>
          <w:p w:rsidR="00462BC2" w:rsidRPr="00FC68C3" w:rsidRDefault="00462BC2"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10. Срок действия договора поручительства</w:t>
            </w:r>
          </w:p>
        </w:tc>
        <w:tc>
          <w:tcPr>
            <w:tcW w:w="6998" w:type="dxa"/>
            <w:gridSpan w:val="4"/>
            <w:tcMar>
              <w:top w:w="57" w:type="dxa"/>
              <w:left w:w="85" w:type="dxa"/>
              <w:bottom w:w="57" w:type="dxa"/>
              <w:right w:w="85" w:type="dxa"/>
            </w:tcMar>
          </w:tcPr>
          <w:p w:rsidR="00462BC2" w:rsidRPr="00FC68C3" w:rsidRDefault="00462BC2" w:rsidP="00C747F6">
            <w:pPr>
              <w:ind w:firstLine="284"/>
              <w:jc w:val="both"/>
              <w:rPr>
                <w:sz w:val="22"/>
                <w:szCs w:val="22"/>
              </w:rPr>
            </w:pPr>
            <w:r w:rsidRPr="00FC68C3">
              <w:rPr>
                <w:sz w:val="22"/>
                <w:szCs w:val="22"/>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FC68C3">
              <w:rPr>
                <w:sz w:val="22"/>
                <w:szCs w:val="22"/>
                <w:lang w:eastAsia="x-none"/>
              </w:rPr>
              <w:t xml:space="preserve">ВРКЛДС </w:t>
            </w:r>
            <w:r w:rsidRPr="00FC68C3">
              <w:rPr>
                <w:sz w:val="22"/>
                <w:szCs w:val="22"/>
                <w:lang w:val="x-none" w:eastAsia="x-none"/>
              </w:rPr>
              <w:t>плюс 3 года включительно.</w:t>
            </w:r>
          </w:p>
        </w:tc>
      </w:tr>
    </w:tbl>
    <w:p w:rsidR="00462BC2" w:rsidRPr="00FC68C3" w:rsidRDefault="00462BC2" w:rsidP="009B23DA">
      <w:pPr>
        <w:ind w:right="-5"/>
        <w:jc w:val="both"/>
        <w:rPr>
          <w:i/>
          <w:sz w:val="22"/>
          <w:szCs w:val="22"/>
        </w:rPr>
      </w:pPr>
      <w:r w:rsidRPr="00FC68C3">
        <w:rPr>
          <w:i/>
          <w:sz w:val="22"/>
          <w:szCs w:val="22"/>
        </w:rPr>
        <w:t xml:space="preserve">Согласно п.6 ст.83 Федерального закона </w:t>
      </w:r>
      <w:r w:rsidRPr="00FC68C3">
        <w:rPr>
          <w:i/>
          <w:iCs/>
          <w:sz w:val="22"/>
          <w:szCs w:val="22"/>
        </w:rPr>
        <w:t>от 26.12.1995 N 208-ФЗ «Об акционерных обществах» указываются сведения о з</w:t>
      </w:r>
      <w:r w:rsidRPr="00FC68C3">
        <w:rPr>
          <w:i/>
          <w:sz w:val="22"/>
          <w:szCs w:val="22"/>
        </w:rPr>
        <w:t>аинтересованных в совершении сделки лицах и основаниях заинтересованности таких лиц:</w:t>
      </w:r>
    </w:p>
    <w:p w:rsidR="00462BC2" w:rsidRPr="00FC68C3" w:rsidRDefault="00462BC2" w:rsidP="009B23DA">
      <w:pPr>
        <w:autoSpaceDE w:val="0"/>
        <w:autoSpaceDN w:val="0"/>
        <w:adjustRightInd w:val="0"/>
        <w:jc w:val="both"/>
        <w:rPr>
          <w:rFonts w:eastAsia="Calibri"/>
          <w:i/>
          <w:sz w:val="22"/>
          <w:szCs w:val="22"/>
        </w:rPr>
      </w:pPr>
      <w:r w:rsidRPr="00FC68C3">
        <w:rPr>
          <w:rFonts w:eastAsia="Calibri"/>
          <w:i/>
          <w:sz w:val="22"/>
          <w:szCs w:val="22"/>
        </w:rPr>
        <w:t>1</w:t>
      </w:r>
      <w:r w:rsidRPr="00FC68C3">
        <w:rPr>
          <w:i/>
          <w:sz w:val="22"/>
          <w:szCs w:val="22"/>
        </w:rPr>
        <w:t>. косвенно контролирующее лицо Общества - АО «Группа ГМС» (является контролирующим лицом АО «ГИДРОМАШСЕРВИС» - Стороны по сделке);</w:t>
      </w:r>
    </w:p>
    <w:p w:rsidR="00462BC2" w:rsidRPr="00FC68C3" w:rsidRDefault="00462BC2" w:rsidP="009B23DA">
      <w:pPr>
        <w:autoSpaceDE w:val="0"/>
        <w:autoSpaceDN w:val="0"/>
        <w:adjustRightInd w:val="0"/>
        <w:jc w:val="both"/>
        <w:rPr>
          <w:rFonts w:eastAsia="Calibri"/>
          <w:i/>
          <w:sz w:val="22"/>
          <w:szCs w:val="22"/>
        </w:rPr>
      </w:pPr>
      <w:r w:rsidRPr="00FC68C3">
        <w:rPr>
          <w:i/>
          <w:sz w:val="22"/>
          <w:szCs w:val="22"/>
        </w:rPr>
        <w:t xml:space="preserve">2. косвенно контролирующее лицо Общества - </w:t>
      </w:r>
      <w:r w:rsidRPr="00FC68C3">
        <w:rPr>
          <w:bCs/>
          <w:i/>
          <w:sz w:val="22"/>
          <w:szCs w:val="22"/>
        </w:rPr>
        <w:t>HMS HYDRAULIC MACHINES &amp; SYSTEMS GROUP PLC</w:t>
      </w:r>
      <w:r w:rsidRPr="00FC68C3">
        <w:rPr>
          <w:i/>
          <w:sz w:val="22"/>
          <w:szCs w:val="22"/>
        </w:rPr>
        <w:t xml:space="preserve"> (является косвенно контролирующим лицом АО «ГИДРОМАШСЕРВИС» - Стороны по сделке);</w:t>
      </w:r>
    </w:p>
    <w:p w:rsidR="00462BC2" w:rsidRPr="00FC68C3" w:rsidRDefault="00462BC2" w:rsidP="009B23DA">
      <w:pPr>
        <w:autoSpaceDE w:val="0"/>
        <w:autoSpaceDN w:val="0"/>
        <w:adjustRightInd w:val="0"/>
        <w:jc w:val="both"/>
        <w:rPr>
          <w:i/>
          <w:sz w:val="22"/>
          <w:szCs w:val="22"/>
        </w:rPr>
      </w:pPr>
      <w:r w:rsidRPr="00FC68C3">
        <w:rPr>
          <w:i/>
          <w:iCs/>
          <w:sz w:val="22"/>
          <w:szCs w:val="22"/>
        </w:rPr>
        <w:t xml:space="preserve">3. </w:t>
      </w:r>
      <w:r w:rsidRPr="00FC68C3">
        <w:rPr>
          <w:i/>
          <w:sz w:val="22"/>
          <w:szCs w:val="22"/>
        </w:rPr>
        <w:t>член совета директоров Общества Скрынник Юрий Николаевич (является членом совета директоров АО «ГИДРОМАШСЕРВИС» - Стороны по сделке);</w:t>
      </w:r>
    </w:p>
    <w:p w:rsidR="00462BC2" w:rsidRPr="00FC68C3" w:rsidRDefault="00462BC2" w:rsidP="009B23DA">
      <w:pPr>
        <w:autoSpaceDE w:val="0"/>
        <w:autoSpaceDN w:val="0"/>
        <w:adjustRightInd w:val="0"/>
        <w:jc w:val="both"/>
        <w:rPr>
          <w:i/>
          <w:sz w:val="22"/>
          <w:szCs w:val="22"/>
        </w:rPr>
      </w:pPr>
      <w:r w:rsidRPr="00FC68C3">
        <w:rPr>
          <w:i/>
          <w:sz w:val="22"/>
          <w:szCs w:val="22"/>
        </w:rPr>
        <w:t xml:space="preserve">4. управляющая организация Общества - </w:t>
      </w:r>
      <w:r w:rsidRPr="00FC68C3">
        <w:rPr>
          <w:rFonts w:eastAsia="Calibri"/>
          <w:i/>
          <w:sz w:val="22"/>
          <w:szCs w:val="22"/>
        </w:rPr>
        <w:t xml:space="preserve">ООО «УК «Группа ГМС» (является также </w:t>
      </w:r>
      <w:r w:rsidRPr="00FC68C3">
        <w:rPr>
          <w:i/>
          <w:sz w:val="22"/>
          <w:szCs w:val="22"/>
        </w:rPr>
        <w:t>управляющей организацией АО «ГИДРОМАШСЕРВИС» - Стороны по сделке).</w:t>
      </w:r>
    </w:p>
    <w:p w:rsidR="00B979E9" w:rsidRPr="00900183" w:rsidRDefault="00B979E9" w:rsidP="00B979E9">
      <w:pPr>
        <w:jc w:val="both"/>
        <w:rPr>
          <w:sz w:val="22"/>
          <w:szCs w:val="22"/>
        </w:rPr>
      </w:pPr>
      <w:r w:rsidRPr="00900183">
        <w:rPr>
          <w:sz w:val="22"/>
          <w:szCs w:val="22"/>
          <w:u w:val="single"/>
        </w:rPr>
        <w:t>Цена сделки:</w:t>
      </w:r>
      <w:r w:rsidRPr="00900183">
        <w:rPr>
          <w:sz w:val="22"/>
          <w:szCs w:val="22"/>
        </w:rPr>
        <w:t xml:space="preserve"> (с учетом суммы ранее принятых непогашенных денежных обязательств Поручителя перед Банком) определена в размере</w:t>
      </w:r>
      <w:r w:rsidRPr="00900183">
        <w:rPr>
          <w:b/>
          <w:sz w:val="22"/>
          <w:szCs w:val="22"/>
        </w:rPr>
        <w:t xml:space="preserve"> </w:t>
      </w:r>
      <w:r w:rsidR="002E41ED" w:rsidRPr="00900183">
        <w:rPr>
          <w:sz w:val="22"/>
          <w:szCs w:val="22"/>
        </w:rPr>
        <w:t>8 680 000</w:t>
      </w:r>
      <w:r w:rsidRPr="00900183">
        <w:rPr>
          <w:sz w:val="22"/>
          <w:szCs w:val="22"/>
        </w:rPr>
        <w:t xml:space="preserve"> 000 </w:t>
      </w:r>
      <w:r w:rsidR="002E41ED" w:rsidRPr="00900183">
        <w:rPr>
          <w:sz w:val="22"/>
          <w:szCs w:val="22"/>
        </w:rPr>
        <w:t xml:space="preserve">(Восемь миллиардов шестьсот восемьдесят миллионов) рублей, что составляет 220,0051 </w:t>
      </w:r>
      <w:r w:rsidRPr="00900183">
        <w:rPr>
          <w:sz w:val="22"/>
          <w:szCs w:val="22"/>
        </w:rPr>
        <w:t>% от стоимости активов Поручителя по состоянию на 30.06.2017г.</w:t>
      </w:r>
    </w:p>
    <w:p w:rsidR="00475677" w:rsidRPr="00900183" w:rsidRDefault="00475677" w:rsidP="00E40748">
      <w:pPr>
        <w:jc w:val="both"/>
        <w:rPr>
          <w:b/>
          <w:caps/>
          <w:sz w:val="22"/>
          <w:szCs w:val="22"/>
        </w:rPr>
      </w:pPr>
    </w:p>
    <w:p w:rsidR="00475677" w:rsidRPr="00475677" w:rsidRDefault="00E40748" w:rsidP="00475677">
      <w:pPr>
        <w:jc w:val="both"/>
        <w:rPr>
          <w:b/>
          <w:caps/>
        </w:rPr>
      </w:pPr>
      <w:r w:rsidRPr="00C259A4">
        <w:rPr>
          <w:b/>
          <w:caps/>
        </w:rPr>
        <w:t xml:space="preserve">По вопросу № 2: </w:t>
      </w:r>
      <w:r w:rsidR="00475677"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00475677" w:rsidRPr="00FC68C3">
        <w:rPr>
          <w:iCs/>
          <w:sz w:val="22"/>
          <w:szCs w:val="22"/>
        </w:rPr>
        <w:lastRenderedPageBreak/>
        <w:t>Возобновляемой рамочной кредитной линии с дифференцированными ставками между АО «ГМС Нефтемаш» и ПАО Сбербанк.</w:t>
      </w:r>
    </w:p>
    <w:p w:rsidR="00410AB8" w:rsidRPr="00EC653A" w:rsidRDefault="00410AB8" w:rsidP="00410AB8">
      <w:pPr>
        <w:spacing w:before="120" w:after="120"/>
        <w:jc w:val="both"/>
        <w:rPr>
          <w:b/>
          <w:bCs/>
        </w:rPr>
      </w:pPr>
      <w:r w:rsidRPr="00EC653A">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410AB8"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10AB8" w:rsidRDefault="00410AB8" w:rsidP="00C747F6">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sz w:val="22"/>
                <w:szCs w:val="22"/>
              </w:rPr>
            </w:pPr>
            <w:r>
              <w:rPr>
                <w:sz w:val="22"/>
                <w:szCs w:val="22"/>
              </w:rPr>
              <w:t>Сделка с заинтересованностью</w:t>
            </w:r>
          </w:p>
        </w:tc>
      </w:tr>
      <w:tr w:rsidR="00410AB8"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0AB8" w:rsidRDefault="00410AB8" w:rsidP="00C747F6">
            <w:pPr>
              <w:overflowPunct w:val="0"/>
              <w:autoSpaceDE w:val="0"/>
              <w:autoSpaceDN w:val="0"/>
              <w:adjustRightInd w:val="0"/>
              <w:jc w:val="center"/>
              <w:rPr>
                <w:b/>
                <w:sz w:val="22"/>
                <w:szCs w:val="22"/>
              </w:rPr>
            </w:pPr>
            <w:r>
              <w:rPr>
                <w:b/>
                <w:sz w:val="22"/>
                <w:szCs w:val="22"/>
              </w:rPr>
              <w:t>%</w:t>
            </w:r>
          </w:p>
        </w:tc>
      </w:tr>
      <w:tr w:rsidR="00410AB8"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10AB8" w:rsidRPr="00310CE2" w:rsidRDefault="00410AB8" w:rsidP="00C747F6">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410AB8" w:rsidRDefault="00410AB8" w:rsidP="00C747F6">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410AB8" w:rsidRDefault="00410AB8" w:rsidP="00C747F6">
            <w:pPr>
              <w:overflowPunct w:val="0"/>
              <w:autoSpaceDE w:val="0"/>
              <w:autoSpaceDN w:val="0"/>
              <w:adjustRightInd w:val="0"/>
              <w:jc w:val="right"/>
              <w:rPr>
                <w:bCs/>
                <w:sz w:val="22"/>
                <w:szCs w:val="22"/>
              </w:rPr>
            </w:pPr>
            <w:r>
              <w:rPr>
                <w:bCs/>
                <w:sz w:val="22"/>
                <w:szCs w:val="22"/>
              </w:rPr>
              <w:t>100</w:t>
            </w:r>
          </w:p>
        </w:tc>
      </w:tr>
      <w:tr w:rsidR="00410AB8"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410AB8" w:rsidRDefault="00410AB8"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410AB8" w:rsidRDefault="00410AB8" w:rsidP="00C747F6">
            <w:pPr>
              <w:overflowPunct w:val="0"/>
              <w:autoSpaceDE w:val="0"/>
              <w:autoSpaceDN w:val="0"/>
              <w:adjustRightInd w:val="0"/>
              <w:jc w:val="right"/>
              <w:rPr>
                <w:sz w:val="22"/>
                <w:szCs w:val="22"/>
              </w:rPr>
            </w:pPr>
            <w:r>
              <w:rPr>
                <w:sz w:val="22"/>
                <w:szCs w:val="22"/>
              </w:rPr>
              <w:t>0</w:t>
            </w:r>
          </w:p>
        </w:tc>
      </w:tr>
      <w:tr w:rsidR="00410AB8"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10AB8" w:rsidRDefault="00410AB8"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410AB8" w:rsidRDefault="00410AB8"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410AB8" w:rsidRDefault="00410AB8" w:rsidP="00C747F6">
            <w:pPr>
              <w:overflowPunct w:val="0"/>
              <w:autoSpaceDE w:val="0"/>
              <w:autoSpaceDN w:val="0"/>
              <w:adjustRightInd w:val="0"/>
              <w:jc w:val="right"/>
              <w:rPr>
                <w:sz w:val="22"/>
                <w:szCs w:val="22"/>
              </w:rPr>
            </w:pPr>
            <w:r>
              <w:rPr>
                <w:sz w:val="22"/>
                <w:szCs w:val="22"/>
              </w:rPr>
              <w:t>0</w:t>
            </w:r>
          </w:p>
        </w:tc>
      </w:tr>
    </w:tbl>
    <w:p w:rsidR="00410AB8" w:rsidRDefault="00410AB8" w:rsidP="00410AB8">
      <w:pPr>
        <w:tabs>
          <w:tab w:val="left" w:pos="9000"/>
        </w:tabs>
        <w:rPr>
          <w:b/>
          <w:bCs/>
          <w:sz w:val="20"/>
          <w:szCs w:val="20"/>
        </w:rPr>
      </w:pPr>
    </w:p>
    <w:p w:rsidR="00410AB8" w:rsidRPr="000A01D8" w:rsidRDefault="00410AB8" w:rsidP="00410AB8">
      <w:pPr>
        <w:tabs>
          <w:tab w:val="left" w:pos="9000"/>
        </w:tabs>
        <w:rPr>
          <w:b/>
          <w:bCs/>
        </w:rPr>
      </w:pPr>
      <w:r w:rsidRPr="000A01D8">
        <w:rPr>
          <w:b/>
          <w:bCs/>
        </w:rPr>
        <w:t>Кворум для принятия решения по данному вопросу имеется.</w:t>
      </w:r>
    </w:p>
    <w:p w:rsidR="00410AB8" w:rsidRPr="000A01D8" w:rsidRDefault="00410AB8" w:rsidP="00410AB8">
      <w:pPr>
        <w:tabs>
          <w:tab w:val="left" w:pos="2660"/>
          <w:tab w:val="left" w:pos="10704"/>
        </w:tabs>
        <w:spacing w:before="120"/>
        <w:jc w:val="both"/>
      </w:pPr>
      <w:r w:rsidRPr="000A01D8">
        <w:rPr>
          <w:b/>
        </w:rPr>
        <w:t>Принято решение</w:t>
      </w:r>
      <w:r w:rsidRPr="000A01D8">
        <w:t xml:space="preserve">: </w:t>
      </w:r>
    </w:p>
    <w:p w:rsidR="00DF3EF5" w:rsidRPr="00FC68C3" w:rsidRDefault="00DF3EF5" w:rsidP="00BC10C3">
      <w:pPr>
        <w:jc w:val="both"/>
        <w:rPr>
          <w:iCs/>
          <w:sz w:val="22"/>
          <w:szCs w:val="22"/>
        </w:rPr>
      </w:pPr>
      <w:r w:rsidRPr="00FC68C3">
        <w:rPr>
          <w:sz w:val="22"/>
          <w:szCs w:val="22"/>
        </w:rPr>
        <w:t xml:space="preserve">Принять решение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Возобновляемой рамочной кредитной линии с дифференцированными ставками на следующих условиях:</w:t>
      </w:r>
    </w:p>
    <w:p w:rsidR="00DF3EF5" w:rsidRPr="00BC10C3" w:rsidRDefault="00DF3EF5" w:rsidP="00BC10C3">
      <w:pPr>
        <w:pStyle w:val="21"/>
        <w:ind w:left="0"/>
        <w:jc w:val="both"/>
        <w:rPr>
          <w:sz w:val="22"/>
          <w:szCs w:val="22"/>
        </w:rPr>
      </w:pPr>
      <w:r w:rsidRPr="00BC10C3">
        <w:rPr>
          <w:sz w:val="22"/>
          <w:szCs w:val="22"/>
        </w:rPr>
        <w:t>Стороны сделки:</w:t>
      </w:r>
    </w:p>
    <w:p w:rsidR="00DF3EF5" w:rsidRPr="00BC10C3" w:rsidRDefault="00DF3EF5" w:rsidP="00BC10C3">
      <w:pPr>
        <w:pStyle w:val="ac"/>
        <w:spacing w:before="0" w:beforeAutospacing="0" w:after="0" w:afterAutospacing="0"/>
        <w:contextualSpacing/>
        <w:jc w:val="both"/>
        <w:rPr>
          <w:iCs/>
          <w:sz w:val="22"/>
          <w:szCs w:val="22"/>
        </w:rPr>
      </w:pPr>
      <w:r w:rsidRPr="00BC10C3">
        <w:rPr>
          <w:bCs/>
          <w:sz w:val="22"/>
          <w:szCs w:val="22"/>
        </w:rPr>
        <w:t xml:space="preserve">Банк: </w:t>
      </w:r>
      <w:r w:rsidRPr="00BC10C3">
        <w:rPr>
          <w:iCs/>
          <w:sz w:val="22"/>
          <w:szCs w:val="22"/>
        </w:rPr>
        <w:t>ПАО Сбербанк;</w:t>
      </w:r>
    </w:p>
    <w:p w:rsidR="00DF3EF5" w:rsidRPr="00BC10C3" w:rsidRDefault="00DF3EF5" w:rsidP="00BC10C3">
      <w:pPr>
        <w:pStyle w:val="ac"/>
        <w:spacing w:before="0" w:beforeAutospacing="0" w:after="0" w:afterAutospacing="0"/>
        <w:contextualSpacing/>
        <w:jc w:val="both"/>
        <w:rPr>
          <w:iCs/>
          <w:sz w:val="22"/>
          <w:szCs w:val="22"/>
        </w:rPr>
      </w:pPr>
      <w:r w:rsidRPr="00BC10C3">
        <w:rPr>
          <w:iCs/>
          <w:sz w:val="22"/>
          <w:szCs w:val="22"/>
        </w:rPr>
        <w:t>Заемщик: АО «ГМС Нефтемаш»;</w:t>
      </w:r>
    </w:p>
    <w:p w:rsidR="00DF3EF5" w:rsidRPr="00BC10C3" w:rsidRDefault="00DF3EF5" w:rsidP="00BC10C3">
      <w:pPr>
        <w:pStyle w:val="ac"/>
        <w:spacing w:before="0" w:beforeAutospacing="0" w:after="0" w:afterAutospacing="0"/>
        <w:contextualSpacing/>
        <w:jc w:val="both"/>
        <w:rPr>
          <w:iCs/>
          <w:sz w:val="22"/>
          <w:szCs w:val="22"/>
        </w:rPr>
      </w:pPr>
      <w:r w:rsidRPr="00BC10C3">
        <w:rPr>
          <w:iCs/>
          <w:sz w:val="22"/>
          <w:szCs w:val="22"/>
        </w:rPr>
        <w:t>Поручитель: АО «Сибнефтемаш»</w:t>
      </w:r>
    </w:p>
    <w:p w:rsidR="00DF3EF5" w:rsidRPr="00BC10C3" w:rsidRDefault="00DF3EF5" w:rsidP="00BC10C3">
      <w:pPr>
        <w:pStyle w:val="ac"/>
        <w:spacing w:before="0" w:beforeAutospacing="0" w:after="0" w:afterAutospacing="0"/>
        <w:contextualSpacing/>
        <w:jc w:val="both"/>
        <w:rPr>
          <w:bCs/>
          <w:sz w:val="22"/>
          <w:szCs w:val="22"/>
        </w:rPr>
      </w:pPr>
      <w:r w:rsidRPr="00BC10C3">
        <w:rPr>
          <w:bCs/>
          <w:sz w:val="22"/>
          <w:szCs w:val="22"/>
        </w:rPr>
        <w:t>Существенные условия сделки: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13"/>
        <w:gridCol w:w="993"/>
        <w:gridCol w:w="3402"/>
        <w:gridCol w:w="2603"/>
      </w:tblGrid>
      <w:tr w:rsidR="00DF3EF5" w:rsidRPr="00FC68C3" w:rsidTr="00BC10C3">
        <w:tc>
          <w:tcPr>
            <w:tcW w:w="3351"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1.</w:t>
            </w:r>
            <w:r w:rsidRPr="00FC68C3">
              <w:rPr>
                <w:rFonts w:ascii="Times New Roman" w:hAnsi="Times New Roman"/>
                <w:b/>
                <w:bCs/>
                <w:sz w:val="22"/>
                <w:szCs w:val="22"/>
              </w:rPr>
              <w:t> </w:t>
            </w:r>
            <w:r w:rsidRPr="00FC68C3">
              <w:rPr>
                <w:rFonts w:ascii="Times New Roman" w:hAnsi="Times New Roman"/>
                <w:b/>
                <w:bCs/>
                <w:sz w:val="22"/>
                <w:szCs w:val="22"/>
                <w:lang w:val="ru-RU"/>
              </w:rPr>
              <w:t>Вид сделки</w:t>
            </w:r>
          </w:p>
        </w:tc>
        <w:tc>
          <w:tcPr>
            <w:tcW w:w="6005" w:type="dxa"/>
            <w:gridSpan w:val="2"/>
            <w:tcMar>
              <w:top w:w="57" w:type="dxa"/>
              <w:left w:w="85" w:type="dxa"/>
              <w:bottom w:w="57" w:type="dxa"/>
              <w:right w:w="85" w:type="dxa"/>
            </w:tcMar>
          </w:tcPr>
          <w:p w:rsidR="00DF3EF5" w:rsidRPr="00FC68C3" w:rsidRDefault="00DF3EF5" w:rsidP="00C747F6">
            <w:pPr>
              <w:pStyle w:val="a7"/>
              <w:spacing w:before="0" w:after="0"/>
              <w:rPr>
                <w:rFonts w:ascii="Times New Roman" w:hAnsi="Times New Roman"/>
                <w:b/>
                <w:bCs/>
                <w:iCs/>
                <w:sz w:val="22"/>
                <w:szCs w:val="22"/>
                <w:lang w:val="ru-RU"/>
              </w:rPr>
            </w:pPr>
            <w:r w:rsidRPr="00FC68C3">
              <w:rPr>
                <w:rFonts w:ascii="Times New Roman" w:hAnsi="Times New Roman"/>
                <w:iCs/>
                <w:sz w:val="22"/>
                <w:szCs w:val="22"/>
                <w:lang w:val="ru-RU"/>
              </w:rPr>
              <w:t>Возобновляемая рамочная кредитная линия с дифференцированными ставками (ВРКЛДС)</w:t>
            </w:r>
          </w:p>
        </w:tc>
      </w:tr>
      <w:tr w:rsidR="00DF3EF5" w:rsidRPr="00FC68C3" w:rsidTr="00BC10C3">
        <w:tc>
          <w:tcPr>
            <w:tcW w:w="3351"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2.</w:t>
            </w:r>
            <w:r w:rsidRPr="00FC68C3">
              <w:rPr>
                <w:rFonts w:ascii="Times New Roman" w:hAnsi="Times New Roman"/>
                <w:b/>
                <w:bCs/>
                <w:sz w:val="22"/>
                <w:szCs w:val="22"/>
              </w:rPr>
              <w:t> </w:t>
            </w:r>
            <w:r w:rsidRPr="00FC68C3">
              <w:rPr>
                <w:rFonts w:ascii="Times New Roman" w:hAnsi="Times New Roman"/>
                <w:b/>
                <w:bCs/>
                <w:sz w:val="22"/>
                <w:szCs w:val="22"/>
                <w:lang w:val="ru-RU"/>
              </w:rPr>
              <w:t>Заемщик</w:t>
            </w:r>
          </w:p>
        </w:tc>
        <w:tc>
          <w:tcPr>
            <w:tcW w:w="6005"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iCs/>
                <w:sz w:val="22"/>
                <w:szCs w:val="22"/>
              </w:rPr>
            </w:pPr>
            <w:r w:rsidRPr="00FC68C3">
              <w:rPr>
                <w:rFonts w:ascii="Times New Roman" w:hAnsi="Times New Roman"/>
                <w:iCs/>
                <w:sz w:val="22"/>
                <w:szCs w:val="22"/>
                <w:lang w:val="ru-RU"/>
              </w:rPr>
              <w:t>АО «ГМС Нефтемаш»</w:t>
            </w:r>
          </w:p>
        </w:tc>
      </w:tr>
      <w:tr w:rsidR="00DF3EF5" w:rsidRPr="00FC68C3" w:rsidTr="00BC10C3">
        <w:tc>
          <w:tcPr>
            <w:tcW w:w="3351"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3. Сумма финансирования</w:t>
            </w:r>
          </w:p>
        </w:tc>
        <w:tc>
          <w:tcPr>
            <w:tcW w:w="6005"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 xml:space="preserve">Не более </w:t>
            </w:r>
            <w:r w:rsidRPr="00FC68C3">
              <w:rPr>
                <w:rFonts w:ascii="Times New Roman" w:hAnsi="Times New Roman"/>
                <w:iCs/>
                <w:sz w:val="22"/>
                <w:szCs w:val="22"/>
                <w:lang w:val="ru-RU"/>
              </w:rPr>
              <w:t>3</w:t>
            </w:r>
            <w:r w:rsidRPr="00FC68C3">
              <w:rPr>
                <w:rFonts w:ascii="Times New Roman" w:hAnsi="Times New Roman"/>
                <w:iCs/>
                <w:sz w:val="22"/>
                <w:szCs w:val="22"/>
              </w:rPr>
              <w:t> </w:t>
            </w:r>
            <w:r w:rsidRPr="00FC68C3">
              <w:rPr>
                <w:rFonts w:ascii="Times New Roman" w:hAnsi="Times New Roman"/>
                <w:iCs/>
                <w:sz w:val="22"/>
                <w:szCs w:val="22"/>
                <w:lang w:val="ru-RU"/>
              </w:rPr>
              <w:t>9</w:t>
            </w:r>
            <w:r w:rsidRPr="00FC68C3">
              <w:rPr>
                <w:rFonts w:ascii="Times New Roman" w:hAnsi="Times New Roman"/>
                <w:iCs/>
                <w:sz w:val="22"/>
                <w:szCs w:val="22"/>
              </w:rPr>
              <w:t>00 000 000,00 рублей</w:t>
            </w:r>
          </w:p>
        </w:tc>
      </w:tr>
      <w:tr w:rsidR="00DF3EF5" w:rsidRPr="00FC68C3" w:rsidTr="00BC10C3">
        <w:tc>
          <w:tcPr>
            <w:tcW w:w="3351"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4.</w:t>
            </w:r>
            <w:r w:rsidRPr="00FC68C3">
              <w:rPr>
                <w:rFonts w:ascii="Times New Roman" w:hAnsi="Times New Roman"/>
                <w:b/>
                <w:bCs/>
                <w:sz w:val="22"/>
                <w:szCs w:val="22"/>
              </w:rPr>
              <w:t> </w:t>
            </w:r>
            <w:r w:rsidRPr="00FC68C3">
              <w:rPr>
                <w:rFonts w:ascii="Times New Roman" w:hAnsi="Times New Roman"/>
                <w:b/>
                <w:bCs/>
                <w:sz w:val="22"/>
                <w:szCs w:val="22"/>
                <w:lang w:val="ru-RU"/>
              </w:rPr>
              <w:t>Цель финансирования (целевое назначение кредита)</w:t>
            </w:r>
          </w:p>
        </w:tc>
        <w:tc>
          <w:tcPr>
            <w:tcW w:w="6005" w:type="dxa"/>
            <w:gridSpan w:val="2"/>
            <w:tcMar>
              <w:top w:w="57" w:type="dxa"/>
              <w:left w:w="85" w:type="dxa"/>
              <w:bottom w:w="57" w:type="dxa"/>
              <w:right w:w="85" w:type="dxa"/>
            </w:tcMar>
          </w:tcPr>
          <w:p w:rsidR="00DF3EF5" w:rsidRPr="00FC68C3" w:rsidRDefault="00DF3EF5" w:rsidP="00C747F6">
            <w:pPr>
              <w:pStyle w:val="a7"/>
              <w:spacing w:before="0" w:after="0"/>
              <w:rPr>
                <w:rFonts w:ascii="Times New Roman" w:hAnsi="Times New Roman"/>
                <w:i/>
                <w:iCs/>
                <w:sz w:val="22"/>
                <w:szCs w:val="22"/>
                <w:lang w:val="ru-RU"/>
              </w:rPr>
            </w:pPr>
            <w:r w:rsidRPr="00FC68C3">
              <w:rPr>
                <w:rFonts w:ascii="Times New Roman" w:hAnsi="Times New Roman"/>
                <w:iCs/>
                <w:sz w:val="22"/>
                <w:szCs w:val="22"/>
                <w:lang w:val="ru-RU"/>
              </w:rPr>
              <w:t xml:space="preserve">Осуществление текущей деятельности, приобретение оборотных и внеоборотных активов, погашение текущей задолженности по кредитам и займам, предоставление займов компаниям, </w:t>
            </w:r>
            <w:r w:rsidRPr="00FC68C3">
              <w:rPr>
                <w:rFonts w:ascii="Times New Roman" w:hAnsi="Times New Roman"/>
                <w:sz w:val="22"/>
                <w:szCs w:val="22"/>
                <w:lang w:val="ru-RU"/>
              </w:rPr>
              <w:t xml:space="preserve">входящим в состав Группы компаний </w:t>
            </w:r>
            <w:r w:rsidRPr="00FC68C3">
              <w:rPr>
                <w:rFonts w:ascii="Times New Roman" w:hAnsi="Times New Roman"/>
                <w:sz w:val="22"/>
                <w:szCs w:val="22"/>
              </w:rPr>
              <w:t>HMS</w:t>
            </w:r>
            <w:r w:rsidRPr="00FC68C3">
              <w:rPr>
                <w:rFonts w:ascii="Times New Roman" w:hAnsi="Times New Roman"/>
                <w:sz w:val="22"/>
                <w:szCs w:val="22"/>
                <w:lang w:val="ru-RU"/>
              </w:rPr>
              <w:t xml:space="preserve"> </w:t>
            </w:r>
            <w:r w:rsidRPr="00FC68C3">
              <w:rPr>
                <w:rFonts w:ascii="Times New Roman" w:hAnsi="Times New Roman"/>
                <w:sz w:val="22"/>
                <w:szCs w:val="22"/>
              </w:rPr>
              <w:t>Group</w:t>
            </w:r>
            <w:r w:rsidRPr="00FC68C3">
              <w:rPr>
                <w:rFonts w:ascii="Times New Roman" w:hAnsi="Times New Roman"/>
                <w:iCs/>
                <w:sz w:val="22"/>
                <w:szCs w:val="22"/>
                <w:lang w:val="ru-RU"/>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C68C3">
              <w:rPr>
                <w:rFonts w:ascii="Times New Roman" w:hAnsi="Times New Roman"/>
                <w:iCs/>
                <w:sz w:val="22"/>
                <w:szCs w:val="22"/>
              </w:rPr>
              <w:t>HMS</w:t>
            </w:r>
            <w:r w:rsidRPr="00FC68C3">
              <w:rPr>
                <w:rFonts w:ascii="Times New Roman" w:hAnsi="Times New Roman"/>
                <w:iCs/>
                <w:sz w:val="22"/>
                <w:szCs w:val="22"/>
                <w:lang w:val="ru-RU"/>
              </w:rPr>
              <w:t xml:space="preserve"> </w:t>
            </w:r>
            <w:r w:rsidRPr="00FC68C3">
              <w:rPr>
                <w:rFonts w:ascii="Times New Roman" w:hAnsi="Times New Roman"/>
                <w:iCs/>
                <w:sz w:val="22"/>
                <w:szCs w:val="22"/>
              </w:rPr>
              <w:t>Group</w:t>
            </w:r>
          </w:p>
        </w:tc>
      </w:tr>
      <w:tr w:rsidR="00DF3EF5" w:rsidRPr="00FC68C3" w:rsidTr="00BC10C3">
        <w:tc>
          <w:tcPr>
            <w:tcW w:w="3351"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5. Срок финансирования</w:t>
            </w:r>
          </w:p>
        </w:tc>
        <w:tc>
          <w:tcPr>
            <w:tcW w:w="6005"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sz w:val="22"/>
                <w:szCs w:val="22"/>
              </w:rPr>
            </w:pPr>
            <w:r w:rsidRPr="00FC68C3">
              <w:rPr>
                <w:rFonts w:ascii="Times New Roman" w:hAnsi="Times New Roman"/>
                <w:iCs/>
                <w:sz w:val="22"/>
                <w:szCs w:val="22"/>
              </w:rPr>
              <w:t>Не более 60 месяцев</w:t>
            </w:r>
          </w:p>
        </w:tc>
      </w:tr>
      <w:tr w:rsidR="00DF3EF5" w:rsidRPr="00FC68C3" w:rsidTr="00BC10C3">
        <w:trPr>
          <w:trHeight w:val="28"/>
        </w:trPr>
        <w:tc>
          <w:tcPr>
            <w:tcW w:w="3351"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6. Погашение основного долга</w:t>
            </w:r>
          </w:p>
        </w:tc>
        <w:tc>
          <w:tcPr>
            <w:tcW w:w="6005" w:type="dxa"/>
            <w:gridSpan w:val="2"/>
            <w:tcMar>
              <w:top w:w="57" w:type="dxa"/>
              <w:left w:w="85" w:type="dxa"/>
              <w:bottom w:w="57" w:type="dxa"/>
              <w:right w:w="85" w:type="dxa"/>
            </w:tcMar>
            <w:vAlign w:val="center"/>
          </w:tcPr>
          <w:p w:rsidR="00DF3EF5" w:rsidRPr="00FC68C3" w:rsidRDefault="00DF3EF5" w:rsidP="00C747F6">
            <w:pPr>
              <w:rPr>
                <w:i/>
                <w:iCs/>
                <w:sz w:val="22"/>
                <w:szCs w:val="22"/>
              </w:rPr>
            </w:pPr>
            <w:r w:rsidRPr="00FC68C3">
              <w:rPr>
                <w:sz w:val="22"/>
                <w:szCs w:val="22"/>
              </w:rPr>
              <w:t>Единовременно, в конце срока Договора</w:t>
            </w:r>
          </w:p>
        </w:tc>
      </w:tr>
      <w:tr w:rsidR="00DF3EF5" w:rsidRPr="00FC68C3" w:rsidTr="00BC10C3">
        <w:tc>
          <w:tcPr>
            <w:tcW w:w="9356" w:type="dxa"/>
            <w:gridSpan w:val="5"/>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7. Процентная ставка</w:t>
            </w:r>
          </w:p>
        </w:tc>
      </w:tr>
      <w:tr w:rsidR="00DF3EF5" w:rsidRPr="00FC68C3" w:rsidTr="00BC10C3">
        <w:trPr>
          <w:trHeight w:val="699"/>
        </w:trPr>
        <w:tc>
          <w:tcPr>
            <w:tcW w:w="6753" w:type="dxa"/>
            <w:gridSpan w:val="4"/>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Фиксированная</w:t>
            </w:r>
          </w:p>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при утверждении кредитных сделок, по которым не планируется устанавливать абсолютные величины процентных ставок</w:t>
            </w:r>
          </w:p>
        </w:tc>
        <w:tc>
          <w:tcPr>
            <w:tcW w:w="2603" w:type="dxa"/>
            <w:tcMar>
              <w:top w:w="57" w:type="dxa"/>
              <w:left w:w="85" w:type="dxa"/>
              <w:bottom w:w="57" w:type="dxa"/>
              <w:right w:w="85" w:type="dxa"/>
            </w:tcMar>
          </w:tcPr>
          <w:p w:rsidR="00DF3EF5" w:rsidRPr="00FC68C3" w:rsidRDefault="00DF3EF5" w:rsidP="00C747F6">
            <w:pPr>
              <w:tabs>
                <w:tab w:val="num" w:pos="145"/>
              </w:tabs>
              <w:rPr>
                <w:sz w:val="22"/>
                <w:szCs w:val="22"/>
              </w:rPr>
            </w:pPr>
            <w:r w:rsidRPr="00FC68C3">
              <w:rPr>
                <w:sz w:val="22"/>
                <w:szCs w:val="22"/>
              </w:rPr>
              <w:t>размер Максимальной процентной ставки – 30% годовых</w:t>
            </w:r>
          </w:p>
        </w:tc>
      </w:tr>
      <w:tr w:rsidR="00DF3EF5" w:rsidRPr="00FC68C3" w:rsidTr="00BC10C3">
        <w:tc>
          <w:tcPr>
            <w:tcW w:w="2345" w:type="dxa"/>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Порядок уплаты</w:t>
            </w:r>
          </w:p>
        </w:tc>
        <w:tc>
          <w:tcPr>
            <w:tcW w:w="7011" w:type="dxa"/>
            <w:gridSpan w:val="4"/>
            <w:tcMar>
              <w:top w:w="57" w:type="dxa"/>
              <w:left w:w="85" w:type="dxa"/>
              <w:bottom w:w="57" w:type="dxa"/>
              <w:right w:w="85" w:type="dxa"/>
            </w:tcMar>
          </w:tcPr>
          <w:p w:rsidR="00DF3EF5" w:rsidRPr="00FC68C3" w:rsidRDefault="00DF3EF5" w:rsidP="00C747F6">
            <w:pPr>
              <w:pStyle w:val="a7"/>
              <w:spacing w:before="0" w:after="0"/>
              <w:rPr>
                <w:rFonts w:ascii="Times New Roman" w:hAnsi="Times New Roman"/>
                <w:i/>
                <w:iCs/>
                <w:sz w:val="22"/>
                <w:szCs w:val="22"/>
                <w:lang w:val="ru-RU"/>
              </w:rPr>
            </w:pPr>
            <w:r w:rsidRPr="00FC68C3">
              <w:rPr>
                <w:rFonts w:ascii="Times New Roman" w:hAnsi="Times New Roman"/>
                <w:sz w:val="22"/>
                <w:szCs w:val="22"/>
                <w:lang w:val="ru-RU"/>
              </w:rPr>
              <w:t>Ежемесячно «28» числа и в дату полного погашения кредита</w:t>
            </w:r>
          </w:p>
        </w:tc>
      </w:tr>
      <w:tr w:rsidR="00DF3EF5" w:rsidRPr="00FC68C3" w:rsidTr="00BC10C3">
        <w:tc>
          <w:tcPr>
            <w:tcW w:w="2358"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8. Неустойки</w:t>
            </w:r>
          </w:p>
        </w:tc>
        <w:tc>
          <w:tcPr>
            <w:tcW w:w="6998" w:type="dxa"/>
            <w:gridSpan w:val="3"/>
            <w:tcMar>
              <w:top w:w="57" w:type="dxa"/>
              <w:left w:w="85" w:type="dxa"/>
              <w:bottom w:w="57" w:type="dxa"/>
              <w:right w:w="85" w:type="dxa"/>
            </w:tcMar>
          </w:tcPr>
          <w:p w:rsidR="00DF3EF5" w:rsidRPr="00FC68C3" w:rsidRDefault="00DF3EF5" w:rsidP="00C747F6">
            <w:pPr>
              <w:pStyle w:val="a"/>
              <w:numPr>
                <w:ilvl w:val="0"/>
                <w:numId w:val="0"/>
              </w:numPr>
              <w:jc w:val="left"/>
              <w:rPr>
                <w:rFonts w:ascii="Times New Roman" w:hAnsi="Times New Roman" w:cs="Times New Roman"/>
                <w:b/>
                <w:bCs/>
                <w:sz w:val="22"/>
                <w:szCs w:val="22"/>
              </w:rPr>
            </w:pPr>
            <w:r w:rsidRPr="00FC68C3">
              <w:rPr>
                <w:rFonts w:ascii="Times New Roman" w:hAnsi="Times New Roman" w:cs="Times New Roman"/>
                <w:b/>
                <w:bCs/>
                <w:sz w:val="22"/>
                <w:szCs w:val="22"/>
              </w:rPr>
              <w:t>Размер</w:t>
            </w:r>
          </w:p>
        </w:tc>
      </w:tr>
      <w:tr w:rsidR="00DF3EF5" w:rsidRPr="00FC68C3" w:rsidTr="00BC10C3">
        <w:tc>
          <w:tcPr>
            <w:tcW w:w="6753" w:type="dxa"/>
            <w:gridSpan w:val="4"/>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b/>
                <w:sz w:val="22"/>
                <w:szCs w:val="22"/>
                <w:lang w:val="ru-RU"/>
              </w:rPr>
              <w:t>8.1.</w:t>
            </w:r>
            <w:r w:rsidRPr="00FC68C3">
              <w:rPr>
                <w:rFonts w:ascii="Times New Roman" w:hAnsi="Times New Roman"/>
                <w:b/>
                <w:sz w:val="22"/>
                <w:szCs w:val="22"/>
              </w:rPr>
              <w:t> </w:t>
            </w:r>
            <w:r w:rsidRPr="00FC68C3">
              <w:rPr>
                <w:rFonts w:ascii="Times New Roman" w:hAnsi="Times New Roman"/>
                <w:b/>
                <w:sz w:val="22"/>
                <w:szCs w:val="22"/>
                <w:lang w:val="ru-RU"/>
              </w:rPr>
              <w:t>За несвоевременное перечисление платежа в погашение кредита и/или уплату процентов и/или комиссионных платежей</w:t>
            </w:r>
          </w:p>
        </w:tc>
        <w:tc>
          <w:tcPr>
            <w:tcW w:w="2603" w:type="dxa"/>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Ключевая ставка Банка России, увеличенная в 2 раза</w:t>
            </w:r>
          </w:p>
        </w:tc>
      </w:tr>
      <w:tr w:rsidR="00DF3EF5" w:rsidRPr="00FC68C3" w:rsidTr="00BC10C3">
        <w:tc>
          <w:tcPr>
            <w:tcW w:w="2358"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sz w:val="22"/>
                <w:szCs w:val="22"/>
              </w:rPr>
            </w:pPr>
            <w:r w:rsidRPr="00FC68C3">
              <w:rPr>
                <w:rFonts w:ascii="Times New Roman" w:hAnsi="Times New Roman"/>
                <w:b/>
                <w:sz w:val="22"/>
                <w:szCs w:val="22"/>
              </w:rPr>
              <w:t>8.2. Иные неустойки</w:t>
            </w:r>
          </w:p>
        </w:tc>
        <w:tc>
          <w:tcPr>
            <w:tcW w:w="6998" w:type="dxa"/>
            <w:gridSpan w:val="3"/>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sz w:val="22"/>
                <w:szCs w:val="22"/>
                <w:lang w:val="ru-RU"/>
              </w:rPr>
            </w:pPr>
            <w:r w:rsidRPr="00FC68C3">
              <w:rPr>
                <w:rFonts w:ascii="Times New Roman" w:hAnsi="Times New Roman"/>
                <w:sz w:val="22"/>
                <w:szCs w:val="22"/>
                <w:lang w:val="ru-RU"/>
              </w:rPr>
              <w:t>Не более 500</w:t>
            </w:r>
            <w:r w:rsidRPr="00FC68C3">
              <w:rPr>
                <w:rFonts w:ascii="Times New Roman" w:hAnsi="Times New Roman"/>
                <w:sz w:val="22"/>
                <w:szCs w:val="22"/>
              </w:rPr>
              <w:t> </w:t>
            </w:r>
            <w:r w:rsidRPr="00FC68C3">
              <w:rPr>
                <w:rFonts w:ascii="Times New Roman" w:hAnsi="Times New Roman"/>
                <w:sz w:val="22"/>
                <w:szCs w:val="22"/>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DF3EF5" w:rsidRPr="00FC68C3" w:rsidTr="00BC10C3">
        <w:trPr>
          <w:trHeight w:val="1751"/>
        </w:trPr>
        <w:tc>
          <w:tcPr>
            <w:tcW w:w="2358"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lastRenderedPageBreak/>
              <w:t>9. Прочие условия</w:t>
            </w:r>
          </w:p>
        </w:tc>
        <w:tc>
          <w:tcPr>
            <w:tcW w:w="6998" w:type="dxa"/>
            <w:gridSpan w:val="3"/>
            <w:tcMar>
              <w:top w:w="57" w:type="dxa"/>
              <w:left w:w="85" w:type="dxa"/>
              <w:bottom w:w="57" w:type="dxa"/>
              <w:right w:w="85" w:type="dxa"/>
            </w:tcMar>
          </w:tcPr>
          <w:p w:rsidR="00DF3EF5" w:rsidRPr="00FC68C3" w:rsidRDefault="00DF3EF5" w:rsidP="00C747F6">
            <w:pPr>
              <w:ind w:firstLine="284"/>
              <w:jc w:val="both"/>
              <w:rPr>
                <w:sz w:val="22"/>
                <w:szCs w:val="22"/>
              </w:rPr>
            </w:pPr>
            <w:r w:rsidRPr="00FC68C3">
              <w:rPr>
                <w:sz w:val="22"/>
                <w:szCs w:val="22"/>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DF3EF5" w:rsidRPr="00FC68C3" w:rsidRDefault="00DF3EF5" w:rsidP="00DF3EF5">
            <w:pPr>
              <w:numPr>
                <w:ilvl w:val="0"/>
                <w:numId w:val="6"/>
              </w:numPr>
              <w:jc w:val="both"/>
              <w:rPr>
                <w:sz w:val="22"/>
                <w:szCs w:val="22"/>
              </w:rPr>
            </w:pPr>
            <w:r w:rsidRPr="00FC68C3">
              <w:rPr>
                <w:sz w:val="22"/>
                <w:szCs w:val="22"/>
              </w:rPr>
              <w:t>Net Debt / Ebitda по Группе компаний HMS Group менее 3,0;</w:t>
            </w:r>
          </w:p>
          <w:p w:rsidR="00DF3EF5" w:rsidRPr="00FC68C3" w:rsidRDefault="00DF3EF5" w:rsidP="00DF3EF5">
            <w:pPr>
              <w:numPr>
                <w:ilvl w:val="0"/>
                <w:numId w:val="6"/>
              </w:numPr>
              <w:jc w:val="both"/>
              <w:rPr>
                <w:sz w:val="22"/>
                <w:szCs w:val="22"/>
              </w:rPr>
            </w:pPr>
            <w:r w:rsidRPr="00FC68C3">
              <w:rPr>
                <w:sz w:val="22"/>
                <w:szCs w:val="22"/>
              </w:rPr>
              <w:t>FСash/Total Debt по Группе компаний HMS Group более 1,5</w:t>
            </w:r>
          </w:p>
          <w:p w:rsidR="00DF3EF5" w:rsidRPr="00FC68C3" w:rsidRDefault="00DF3EF5" w:rsidP="00C747F6">
            <w:pPr>
              <w:pStyle w:val="ae"/>
              <w:ind w:left="602"/>
              <w:jc w:val="both"/>
              <w:rPr>
                <w:iCs/>
                <w:sz w:val="22"/>
                <w:szCs w:val="22"/>
              </w:rPr>
            </w:pPr>
            <w:r w:rsidRPr="00FC68C3">
              <w:rPr>
                <w:sz w:val="22"/>
                <w:szCs w:val="22"/>
              </w:rPr>
              <w:t>срок действия Договора автоматически продляется до 60 месяцев.</w:t>
            </w:r>
          </w:p>
        </w:tc>
      </w:tr>
      <w:tr w:rsidR="00DF3EF5" w:rsidRPr="00FC68C3" w:rsidTr="00BC10C3">
        <w:trPr>
          <w:trHeight w:val="358"/>
        </w:trPr>
        <w:tc>
          <w:tcPr>
            <w:tcW w:w="2358" w:type="dxa"/>
            <w:gridSpan w:val="2"/>
            <w:tcMar>
              <w:top w:w="57" w:type="dxa"/>
              <w:left w:w="85" w:type="dxa"/>
              <w:bottom w:w="57" w:type="dxa"/>
              <w:right w:w="85" w:type="dxa"/>
            </w:tcMar>
          </w:tcPr>
          <w:p w:rsidR="00DF3EF5" w:rsidRPr="00FC68C3" w:rsidRDefault="00DF3EF5"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10. Срок действия договора поручительства</w:t>
            </w:r>
          </w:p>
        </w:tc>
        <w:tc>
          <w:tcPr>
            <w:tcW w:w="6998" w:type="dxa"/>
            <w:gridSpan w:val="3"/>
            <w:tcMar>
              <w:top w:w="57" w:type="dxa"/>
              <w:left w:w="85" w:type="dxa"/>
              <w:bottom w:w="57" w:type="dxa"/>
              <w:right w:w="85" w:type="dxa"/>
            </w:tcMar>
          </w:tcPr>
          <w:p w:rsidR="00DF3EF5" w:rsidRPr="00FC68C3" w:rsidRDefault="00DF3EF5" w:rsidP="001C4662">
            <w:pPr>
              <w:jc w:val="both"/>
              <w:rPr>
                <w:sz w:val="22"/>
                <w:szCs w:val="22"/>
              </w:rPr>
            </w:pPr>
            <w:r w:rsidRPr="00FC68C3">
              <w:rPr>
                <w:sz w:val="22"/>
                <w:szCs w:val="22"/>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FC68C3">
              <w:rPr>
                <w:sz w:val="22"/>
                <w:szCs w:val="22"/>
                <w:lang w:eastAsia="x-none"/>
              </w:rPr>
              <w:t xml:space="preserve">ВРКЛДС </w:t>
            </w:r>
            <w:r w:rsidRPr="00FC68C3">
              <w:rPr>
                <w:sz w:val="22"/>
                <w:szCs w:val="22"/>
                <w:lang w:val="x-none" w:eastAsia="x-none"/>
              </w:rPr>
              <w:t>плюс 3 года включительно.</w:t>
            </w:r>
          </w:p>
        </w:tc>
      </w:tr>
    </w:tbl>
    <w:p w:rsidR="00DF3EF5" w:rsidRPr="00FC68C3" w:rsidRDefault="00DF3EF5" w:rsidP="00BC10C3">
      <w:pPr>
        <w:ind w:right="-5"/>
        <w:jc w:val="both"/>
        <w:rPr>
          <w:i/>
          <w:sz w:val="22"/>
          <w:szCs w:val="22"/>
        </w:rPr>
      </w:pPr>
      <w:r w:rsidRPr="00FC68C3">
        <w:rPr>
          <w:i/>
          <w:sz w:val="22"/>
          <w:szCs w:val="22"/>
        </w:rPr>
        <w:t xml:space="preserve">Согласно п.6 ст.83 Федерального закона </w:t>
      </w:r>
      <w:r w:rsidRPr="00FC68C3">
        <w:rPr>
          <w:i/>
          <w:iCs/>
          <w:sz w:val="22"/>
          <w:szCs w:val="22"/>
        </w:rPr>
        <w:t>от 26.12.1995 N 208-ФЗ «Об акционерных обществах» указываются сведения о з</w:t>
      </w:r>
      <w:r w:rsidRPr="00FC68C3">
        <w:rPr>
          <w:i/>
          <w:sz w:val="22"/>
          <w:szCs w:val="22"/>
        </w:rPr>
        <w:t>аинтересованных в совершении сделки лицах и основаниях заинтересованности таких лиц:</w:t>
      </w:r>
    </w:p>
    <w:p w:rsidR="00DF3EF5" w:rsidRPr="00FC68C3" w:rsidRDefault="00DF3EF5" w:rsidP="00DF3EF5">
      <w:pPr>
        <w:autoSpaceDE w:val="0"/>
        <w:autoSpaceDN w:val="0"/>
        <w:adjustRightInd w:val="0"/>
        <w:jc w:val="both"/>
        <w:rPr>
          <w:rFonts w:eastAsia="Calibri"/>
          <w:i/>
          <w:sz w:val="22"/>
          <w:szCs w:val="22"/>
        </w:rPr>
      </w:pPr>
      <w:r w:rsidRPr="00FC68C3">
        <w:rPr>
          <w:rFonts w:eastAsia="Calibri"/>
          <w:i/>
          <w:sz w:val="22"/>
          <w:szCs w:val="22"/>
        </w:rPr>
        <w:t>1</w:t>
      </w:r>
      <w:r w:rsidRPr="00FC68C3">
        <w:rPr>
          <w:i/>
          <w:sz w:val="22"/>
          <w:szCs w:val="22"/>
        </w:rPr>
        <w:t>. контролирующее лицо Общества - АО «ГМС Нефтемаш» является Стороной по сделке);</w:t>
      </w:r>
    </w:p>
    <w:p w:rsidR="00DF3EF5" w:rsidRPr="00FC68C3" w:rsidRDefault="00DF3EF5" w:rsidP="00DF3EF5">
      <w:pPr>
        <w:autoSpaceDE w:val="0"/>
        <w:autoSpaceDN w:val="0"/>
        <w:adjustRightInd w:val="0"/>
        <w:jc w:val="both"/>
        <w:rPr>
          <w:rFonts w:eastAsia="Calibri"/>
          <w:i/>
          <w:sz w:val="22"/>
          <w:szCs w:val="22"/>
        </w:rPr>
      </w:pPr>
      <w:r w:rsidRPr="00FC68C3">
        <w:rPr>
          <w:i/>
          <w:sz w:val="22"/>
          <w:szCs w:val="22"/>
        </w:rPr>
        <w:t>2. косвенно контролирующее лицо Общества - АО «Группа ГМС» (является контролирующим лицом АО «ГМС Нефтемаш»  - Стороны по сделке);</w:t>
      </w:r>
    </w:p>
    <w:p w:rsidR="00DF3EF5" w:rsidRPr="00FC68C3" w:rsidRDefault="00DF3EF5" w:rsidP="00DF3EF5">
      <w:pPr>
        <w:autoSpaceDE w:val="0"/>
        <w:autoSpaceDN w:val="0"/>
        <w:adjustRightInd w:val="0"/>
        <w:jc w:val="both"/>
        <w:rPr>
          <w:rFonts w:eastAsia="Calibri"/>
          <w:i/>
          <w:sz w:val="22"/>
          <w:szCs w:val="22"/>
        </w:rPr>
      </w:pPr>
      <w:r w:rsidRPr="00FC68C3">
        <w:rPr>
          <w:i/>
          <w:sz w:val="22"/>
          <w:szCs w:val="22"/>
        </w:rPr>
        <w:t>3</w:t>
      </w:r>
      <w:r w:rsidRPr="000D024F">
        <w:rPr>
          <w:i/>
          <w:sz w:val="22"/>
          <w:szCs w:val="22"/>
        </w:rPr>
        <w:t xml:space="preserve">. косвенно контролирующее лицо Общества - </w:t>
      </w:r>
      <w:r w:rsidRPr="000D024F">
        <w:rPr>
          <w:bCs/>
          <w:i/>
          <w:sz w:val="22"/>
          <w:szCs w:val="22"/>
        </w:rPr>
        <w:t>HMS HYDRAULIC MACHINES &amp; SYSTEMS GROUP PLC</w:t>
      </w:r>
      <w:r w:rsidRPr="000D024F">
        <w:rPr>
          <w:i/>
          <w:sz w:val="22"/>
          <w:szCs w:val="22"/>
        </w:rPr>
        <w:t xml:space="preserve"> (является косвенно контролирующим л</w:t>
      </w:r>
      <w:r w:rsidRPr="00FC68C3">
        <w:rPr>
          <w:i/>
          <w:sz w:val="22"/>
          <w:szCs w:val="22"/>
        </w:rPr>
        <w:t>ицом АО «ГМС Нефтемаш» - Стороны по сделке);</w:t>
      </w:r>
    </w:p>
    <w:p w:rsidR="00DF3EF5" w:rsidRPr="000D024F" w:rsidRDefault="00DF3EF5" w:rsidP="00DF3EF5">
      <w:pPr>
        <w:autoSpaceDE w:val="0"/>
        <w:autoSpaceDN w:val="0"/>
        <w:adjustRightInd w:val="0"/>
        <w:jc w:val="both"/>
        <w:rPr>
          <w:i/>
          <w:sz w:val="22"/>
          <w:szCs w:val="22"/>
        </w:rPr>
      </w:pPr>
      <w:r w:rsidRPr="00FC68C3">
        <w:rPr>
          <w:i/>
          <w:iCs/>
          <w:sz w:val="22"/>
          <w:szCs w:val="22"/>
        </w:rPr>
        <w:t>4</w:t>
      </w:r>
      <w:r w:rsidRPr="000D024F">
        <w:rPr>
          <w:i/>
          <w:iCs/>
          <w:sz w:val="22"/>
          <w:szCs w:val="22"/>
        </w:rPr>
        <w:t xml:space="preserve">. </w:t>
      </w:r>
      <w:r w:rsidRPr="000D024F">
        <w:rPr>
          <w:i/>
          <w:sz w:val="22"/>
          <w:szCs w:val="22"/>
        </w:rPr>
        <w:t>члены совета директоров Общества Скрынник Юрий Николаевич, Игнатов А.В., Новиков А.Е. (являются членами совета директоров АО «ГМС Нефтемаш» - Стороны по сделке);</w:t>
      </w:r>
    </w:p>
    <w:p w:rsidR="00DF3EF5" w:rsidRPr="00FC68C3" w:rsidRDefault="00DF3EF5" w:rsidP="00DF3EF5">
      <w:pPr>
        <w:autoSpaceDE w:val="0"/>
        <w:autoSpaceDN w:val="0"/>
        <w:adjustRightInd w:val="0"/>
        <w:jc w:val="both"/>
        <w:rPr>
          <w:i/>
          <w:sz w:val="22"/>
          <w:szCs w:val="22"/>
        </w:rPr>
      </w:pPr>
      <w:r w:rsidRPr="00FC68C3">
        <w:rPr>
          <w:i/>
          <w:sz w:val="22"/>
          <w:szCs w:val="22"/>
        </w:rPr>
        <w:t>5</w:t>
      </w:r>
      <w:r w:rsidRPr="000D024F">
        <w:rPr>
          <w:i/>
          <w:sz w:val="22"/>
          <w:szCs w:val="22"/>
        </w:rPr>
        <w:t xml:space="preserve">. управляющая организация Общества - </w:t>
      </w:r>
      <w:r w:rsidRPr="000D024F">
        <w:rPr>
          <w:rFonts w:eastAsia="Calibri"/>
          <w:i/>
          <w:sz w:val="22"/>
          <w:szCs w:val="22"/>
        </w:rPr>
        <w:t xml:space="preserve">ООО «УК «Группа ГМС» (является также </w:t>
      </w:r>
      <w:r w:rsidRPr="00FC68C3">
        <w:rPr>
          <w:i/>
          <w:sz w:val="22"/>
          <w:szCs w:val="22"/>
        </w:rPr>
        <w:t>управляющей организацией АО «ГМС Нефтемаш» - Стороны по сделке).</w:t>
      </w:r>
    </w:p>
    <w:p w:rsidR="007C4EF0" w:rsidRPr="00900183" w:rsidRDefault="007C4EF0" w:rsidP="007C4EF0">
      <w:pPr>
        <w:jc w:val="both"/>
        <w:rPr>
          <w:sz w:val="22"/>
          <w:szCs w:val="22"/>
        </w:rPr>
      </w:pPr>
      <w:r w:rsidRPr="00900183">
        <w:rPr>
          <w:sz w:val="22"/>
          <w:szCs w:val="22"/>
          <w:u w:val="single"/>
        </w:rPr>
        <w:t>Цена сделки:</w:t>
      </w:r>
      <w:r w:rsidRPr="00900183">
        <w:rPr>
          <w:sz w:val="22"/>
          <w:szCs w:val="22"/>
        </w:rPr>
        <w:t xml:space="preserve"> (с учетом суммы ранее принятых непогашенных денежных обязательств Поручителя перед Банком) определена в размере</w:t>
      </w:r>
      <w:r w:rsidRPr="00900183">
        <w:rPr>
          <w:b/>
          <w:sz w:val="22"/>
          <w:szCs w:val="22"/>
        </w:rPr>
        <w:t xml:space="preserve"> </w:t>
      </w:r>
      <w:r w:rsidRPr="00900183">
        <w:rPr>
          <w:sz w:val="22"/>
          <w:szCs w:val="22"/>
        </w:rPr>
        <w:t>11 580 000 000 (Одиннадцать миллиардов пятьсот восемьдесят миллионов) рублей, что составляет 293,5091 % от стоимости активов Поручителя по состоянию на 30.06.2017г.</w:t>
      </w:r>
    </w:p>
    <w:p w:rsidR="00E335A8" w:rsidRDefault="00E335A8" w:rsidP="00E40748">
      <w:pPr>
        <w:jc w:val="both"/>
        <w:rPr>
          <w:b/>
          <w:caps/>
        </w:rPr>
      </w:pPr>
    </w:p>
    <w:p w:rsidR="0038051F" w:rsidRPr="0038051F" w:rsidRDefault="00E40748" w:rsidP="0038051F">
      <w:pPr>
        <w:jc w:val="both"/>
        <w:rPr>
          <w:b/>
          <w:caps/>
        </w:rPr>
      </w:pPr>
      <w:r w:rsidRPr="005D3318">
        <w:rPr>
          <w:b/>
          <w:caps/>
        </w:rPr>
        <w:t xml:space="preserve">По вопросу №3: </w:t>
      </w:r>
      <w:r w:rsidR="0038051F"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0038051F" w:rsidRPr="00FC68C3">
        <w:rPr>
          <w:iCs/>
          <w:sz w:val="22"/>
          <w:szCs w:val="22"/>
        </w:rPr>
        <w:t>Возобновляемой кредитной линии между АО «ГМС Нефтемаш» и ПАО Сбербанк.</w:t>
      </w:r>
    </w:p>
    <w:p w:rsidR="00EC16FC" w:rsidRPr="00EC653A" w:rsidRDefault="00EC16FC" w:rsidP="00EC16FC">
      <w:pPr>
        <w:spacing w:before="120" w:after="120"/>
        <w:jc w:val="both"/>
        <w:rPr>
          <w:b/>
          <w:bCs/>
        </w:rPr>
      </w:pPr>
      <w:r w:rsidRPr="00EC653A">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C16FC" w:rsidRDefault="00EC16FC" w:rsidP="00C747F6">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sz w:val="22"/>
                <w:szCs w:val="22"/>
              </w:rPr>
            </w:pPr>
            <w:r>
              <w:rPr>
                <w:sz w:val="22"/>
                <w:szCs w:val="22"/>
              </w:rPr>
              <w:t>Сделка с заинтересованностью</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C16FC" w:rsidRPr="00310CE2" w:rsidRDefault="00EC16FC" w:rsidP="00C747F6">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bCs/>
                <w:sz w:val="22"/>
                <w:szCs w:val="22"/>
              </w:rPr>
            </w:pPr>
            <w:r>
              <w:rPr>
                <w:bCs/>
                <w:sz w:val="22"/>
                <w:szCs w:val="22"/>
              </w:rPr>
              <w:t>100</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r>
    </w:tbl>
    <w:p w:rsidR="00EC16FC" w:rsidRDefault="00EC16FC" w:rsidP="00EC16FC">
      <w:pPr>
        <w:tabs>
          <w:tab w:val="left" w:pos="9000"/>
        </w:tabs>
        <w:rPr>
          <w:b/>
          <w:bCs/>
          <w:sz w:val="20"/>
          <w:szCs w:val="20"/>
        </w:rPr>
      </w:pPr>
    </w:p>
    <w:p w:rsidR="00EC16FC" w:rsidRPr="000A01D8" w:rsidRDefault="00EC16FC" w:rsidP="00EC16FC">
      <w:pPr>
        <w:tabs>
          <w:tab w:val="left" w:pos="9000"/>
        </w:tabs>
        <w:rPr>
          <w:b/>
          <w:bCs/>
        </w:rPr>
      </w:pPr>
      <w:r w:rsidRPr="000A01D8">
        <w:rPr>
          <w:b/>
          <w:bCs/>
        </w:rPr>
        <w:t>Кворум для принятия решения по данному вопросу имеется.</w:t>
      </w:r>
    </w:p>
    <w:p w:rsidR="00EC16FC" w:rsidRPr="000A01D8" w:rsidRDefault="00EC16FC" w:rsidP="00EC16FC">
      <w:pPr>
        <w:tabs>
          <w:tab w:val="left" w:pos="2660"/>
          <w:tab w:val="left" w:pos="10704"/>
        </w:tabs>
        <w:spacing w:before="120"/>
        <w:jc w:val="both"/>
      </w:pPr>
      <w:r w:rsidRPr="000A01D8">
        <w:rPr>
          <w:b/>
        </w:rPr>
        <w:t>Принято решение</w:t>
      </w:r>
      <w:r w:rsidRPr="000A01D8">
        <w:t xml:space="preserve">: </w:t>
      </w:r>
    </w:p>
    <w:p w:rsidR="001A0D81" w:rsidRPr="00FC68C3" w:rsidRDefault="001A0D81" w:rsidP="00836A64">
      <w:pPr>
        <w:jc w:val="both"/>
        <w:rPr>
          <w:iCs/>
          <w:sz w:val="22"/>
          <w:szCs w:val="22"/>
        </w:rPr>
      </w:pPr>
      <w:r w:rsidRPr="00FC68C3">
        <w:rPr>
          <w:sz w:val="22"/>
          <w:szCs w:val="22"/>
        </w:rPr>
        <w:t xml:space="preserve">Принять решение о согласии на совершение крупной сделки, в совершении которой имеется заинтересованность по заключению Договора поручительства к </w:t>
      </w:r>
      <w:r w:rsidRPr="00FC68C3">
        <w:rPr>
          <w:iCs/>
          <w:sz w:val="22"/>
          <w:szCs w:val="22"/>
        </w:rPr>
        <w:t>Возобновляемой кредитной линии на следующих условиях:</w:t>
      </w:r>
    </w:p>
    <w:p w:rsidR="001A0D81" w:rsidRPr="00836A64" w:rsidRDefault="001A0D81" w:rsidP="00836A64">
      <w:pPr>
        <w:pStyle w:val="21"/>
        <w:ind w:left="0"/>
        <w:jc w:val="both"/>
        <w:rPr>
          <w:sz w:val="22"/>
          <w:szCs w:val="22"/>
        </w:rPr>
      </w:pPr>
      <w:r w:rsidRPr="00836A64">
        <w:rPr>
          <w:sz w:val="22"/>
          <w:szCs w:val="22"/>
        </w:rPr>
        <w:t>Стороны сделки:</w:t>
      </w:r>
    </w:p>
    <w:p w:rsidR="001A0D81" w:rsidRPr="00836A64" w:rsidRDefault="001A0D81" w:rsidP="00836A64">
      <w:pPr>
        <w:pStyle w:val="ac"/>
        <w:spacing w:before="0" w:beforeAutospacing="0" w:after="0" w:afterAutospacing="0"/>
        <w:contextualSpacing/>
        <w:jc w:val="both"/>
        <w:rPr>
          <w:iCs/>
          <w:sz w:val="22"/>
          <w:szCs w:val="22"/>
        </w:rPr>
      </w:pPr>
      <w:r w:rsidRPr="00836A64">
        <w:rPr>
          <w:bCs/>
          <w:sz w:val="22"/>
          <w:szCs w:val="22"/>
        </w:rPr>
        <w:t xml:space="preserve">Банк: </w:t>
      </w:r>
      <w:r w:rsidRPr="00836A64">
        <w:rPr>
          <w:iCs/>
          <w:sz w:val="22"/>
          <w:szCs w:val="22"/>
        </w:rPr>
        <w:t>ПАО Сбербанк;</w:t>
      </w:r>
    </w:p>
    <w:p w:rsidR="001A0D81" w:rsidRPr="00836A64" w:rsidRDefault="001A0D81" w:rsidP="00836A64">
      <w:pPr>
        <w:pStyle w:val="ac"/>
        <w:spacing w:before="0" w:beforeAutospacing="0" w:after="0" w:afterAutospacing="0"/>
        <w:contextualSpacing/>
        <w:jc w:val="both"/>
        <w:rPr>
          <w:iCs/>
          <w:sz w:val="22"/>
          <w:szCs w:val="22"/>
        </w:rPr>
      </w:pPr>
      <w:r w:rsidRPr="00836A64">
        <w:rPr>
          <w:iCs/>
          <w:sz w:val="22"/>
          <w:szCs w:val="22"/>
        </w:rPr>
        <w:t>Заемщик: АО «ГМС Нефтемаш»;</w:t>
      </w:r>
    </w:p>
    <w:p w:rsidR="001A0D81" w:rsidRPr="00836A64" w:rsidRDefault="001A0D81" w:rsidP="00836A64">
      <w:pPr>
        <w:pStyle w:val="ac"/>
        <w:spacing w:before="0" w:beforeAutospacing="0" w:after="0" w:afterAutospacing="0"/>
        <w:contextualSpacing/>
        <w:jc w:val="both"/>
        <w:rPr>
          <w:iCs/>
          <w:sz w:val="22"/>
          <w:szCs w:val="22"/>
        </w:rPr>
      </w:pPr>
      <w:r w:rsidRPr="00836A64">
        <w:rPr>
          <w:iCs/>
          <w:sz w:val="22"/>
          <w:szCs w:val="22"/>
        </w:rPr>
        <w:t>Поручитель: АО «Сибнефтемаш»</w:t>
      </w:r>
    </w:p>
    <w:p w:rsidR="001A0D81" w:rsidRPr="00836A64" w:rsidRDefault="001A0D81" w:rsidP="00836A64">
      <w:pPr>
        <w:pStyle w:val="ac"/>
        <w:spacing w:before="0" w:beforeAutospacing="0" w:after="0" w:afterAutospacing="0"/>
        <w:contextualSpacing/>
        <w:jc w:val="both"/>
        <w:rPr>
          <w:bCs/>
          <w:sz w:val="22"/>
          <w:szCs w:val="22"/>
        </w:rPr>
      </w:pPr>
      <w:r w:rsidRPr="00836A64">
        <w:rPr>
          <w:bCs/>
          <w:sz w:val="22"/>
          <w:szCs w:val="22"/>
        </w:rPr>
        <w:t>Существенные условия сделки: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128"/>
        <w:gridCol w:w="632"/>
        <w:gridCol w:w="3776"/>
        <w:gridCol w:w="2603"/>
      </w:tblGrid>
      <w:tr w:rsidR="001A0D81" w:rsidRPr="00FC68C3" w:rsidTr="001866DF">
        <w:tc>
          <w:tcPr>
            <w:tcW w:w="2977" w:type="dxa"/>
            <w:gridSpan w:val="3"/>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1. Вид сделки</w:t>
            </w:r>
          </w:p>
        </w:tc>
        <w:tc>
          <w:tcPr>
            <w:tcW w:w="6379" w:type="dxa"/>
            <w:gridSpan w:val="2"/>
            <w:tcMar>
              <w:top w:w="57" w:type="dxa"/>
              <w:left w:w="85" w:type="dxa"/>
              <w:bottom w:w="57" w:type="dxa"/>
              <w:right w:w="85" w:type="dxa"/>
            </w:tcMar>
          </w:tcPr>
          <w:p w:rsidR="001A0D81" w:rsidRPr="00FC68C3" w:rsidRDefault="001A0D81" w:rsidP="00C747F6">
            <w:pPr>
              <w:pStyle w:val="a7"/>
              <w:spacing w:before="0" w:after="0"/>
              <w:rPr>
                <w:rFonts w:ascii="Times New Roman" w:hAnsi="Times New Roman"/>
                <w:b/>
                <w:bCs/>
                <w:iCs/>
                <w:sz w:val="22"/>
                <w:szCs w:val="22"/>
              </w:rPr>
            </w:pPr>
            <w:r w:rsidRPr="00FC68C3">
              <w:rPr>
                <w:rFonts w:ascii="Times New Roman" w:hAnsi="Times New Roman"/>
                <w:iCs/>
                <w:sz w:val="22"/>
                <w:szCs w:val="22"/>
              </w:rPr>
              <w:t>Возобновляемая кредитная линия  (ВКЛ)</w:t>
            </w:r>
          </w:p>
        </w:tc>
      </w:tr>
      <w:tr w:rsidR="001A0D81" w:rsidRPr="00FC68C3" w:rsidTr="001866DF">
        <w:tc>
          <w:tcPr>
            <w:tcW w:w="2977" w:type="dxa"/>
            <w:gridSpan w:val="3"/>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2. Заемщик</w:t>
            </w:r>
          </w:p>
        </w:tc>
        <w:tc>
          <w:tcPr>
            <w:tcW w:w="6379" w:type="dxa"/>
            <w:gridSpan w:val="2"/>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АО «ГМС Нефтемаш»</w:t>
            </w:r>
          </w:p>
        </w:tc>
      </w:tr>
      <w:tr w:rsidR="001A0D81" w:rsidRPr="00FC68C3" w:rsidTr="001866DF">
        <w:tc>
          <w:tcPr>
            <w:tcW w:w="2977" w:type="dxa"/>
            <w:gridSpan w:val="3"/>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lastRenderedPageBreak/>
              <w:t>3. Сумма финансирования</w:t>
            </w:r>
          </w:p>
        </w:tc>
        <w:tc>
          <w:tcPr>
            <w:tcW w:w="6379" w:type="dxa"/>
            <w:gridSpan w:val="2"/>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Не более 500 000 000,00 рублей</w:t>
            </w:r>
          </w:p>
        </w:tc>
      </w:tr>
      <w:tr w:rsidR="001A0D81" w:rsidRPr="00FC68C3" w:rsidTr="001866DF">
        <w:tc>
          <w:tcPr>
            <w:tcW w:w="2977" w:type="dxa"/>
            <w:gridSpan w:val="3"/>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4.</w:t>
            </w:r>
            <w:r w:rsidRPr="00FC68C3">
              <w:rPr>
                <w:rFonts w:ascii="Times New Roman" w:hAnsi="Times New Roman"/>
                <w:b/>
                <w:bCs/>
                <w:sz w:val="22"/>
                <w:szCs w:val="22"/>
              </w:rPr>
              <w:t> </w:t>
            </w:r>
            <w:r w:rsidRPr="00FC68C3">
              <w:rPr>
                <w:rFonts w:ascii="Times New Roman" w:hAnsi="Times New Roman"/>
                <w:b/>
                <w:bCs/>
                <w:sz w:val="22"/>
                <w:szCs w:val="22"/>
                <w:lang w:val="ru-RU"/>
              </w:rPr>
              <w:t>Цель финансирования (целевое назначение кредита)</w:t>
            </w:r>
          </w:p>
        </w:tc>
        <w:tc>
          <w:tcPr>
            <w:tcW w:w="6379" w:type="dxa"/>
            <w:gridSpan w:val="2"/>
            <w:tcMar>
              <w:top w:w="57" w:type="dxa"/>
              <w:left w:w="85" w:type="dxa"/>
              <w:bottom w:w="57" w:type="dxa"/>
              <w:right w:w="85" w:type="dxa"/>
            </w:tcMar>
          </w:tcPr>
          <w:p w:rsidR="001A0D81" w:rsidRPr="00FC68C3" w:rsidRDefault="001A0D81" w:rsidP="00C747F6">
            <w:pPr>
              <w:pStyle w:val="a7"/>
              <w:spacing w:before="0" w:after="0"/>
              <w:rPr>
                <w:rFonts w:ascii="Times New Roman" w:hAnsi="Times New Roman"/>
                <w:i/>
                <w:iCs/>
                <w:sz w:val="22"/>
                <w:szCs w:val="22"/>
                <w:lang w:val="ru-RU"/>
              </w:rPr>
            </w:pPr>
            <w:r w:rsidRPr="00FC68C3">
              <w:rPr>
                <w:rFonts w:ascii="Times New Roman" w:hAnsi="Times New Roman"/>
                <w:iCs/>
                <w:sz w:val="22"/>
                <w:szCs w:val="22"/>
                <w:lang w:val="ru-RU"/>
              </w:rPr>
              <w:t xml:space="preserve">Осуществление текущей деятельности, приобретение оборотных и внеоборотных активов, погашение текущей задолженности по кредитам и займам, предоставление займов компаниям, </w:t>
            </w:r>
            <w:r w:rsidRPr="00FC68C3">
              <w:rPr>
                <w:rFonts w:ascii="Times New Roman" w:hAnsi="Times New Roman"/>
                <w:sz w:val="22"/>
                <w:szCs w:val="22"/>
                <w:lang w:val="ru-RU"/>
              </w:rPr>
              <w:t xml:space="preserve">входящим в состав Группы компаний </w:t>
            </w:r>
            <w:r w:rsidRPr="00FC68C3">
              <w:rPr>
                <w:rFonts w:ascii="Times New Roman" w:hAnsi="Times New Roman"/>
                <w:sz w:val="22"/>
                <w:szCs w:val="22"/>
              </w:rPr>
              <w:t>HMS</w:t>
            </w:r>
            <w:r w:rsidRPr="00FC68C3">
              <w:rPr>
                <w:rFonts w:ascii="Times New Roman" w:hAnsi="Times New Roman"/>
                <w:sz w:val="22"/>
                <w:szCs w:val="22"/>
                <w:lang w:val="ru-RU"/>
              </w:rPr>
              <w:t xml:space="preserve"> </w:t>
            </w:r>
            <w:r w:rsidRPr="00FC68C3">
              <w:rPr>
                <w:rFonts w:ascii="Times New Roman" w:hAnsi="Times New Roman"/>
                <w:sz w:val="22"/>
                <w:szCs w:val="22"/>
              </w:rPr>
              <w:t>Group</w:t>
            </w:r>
            <w:r w:rsidRPr="00FC68C3">
              <w:rPr>
                <w:rFonts w:ascii="Times New Roman" w:hAnsi="Times New Roman"/>
                <w:iCs/>
                <w:sz w:val="22"/>
                <w:szCs w:val="22"/>
                <w:lang w:val="ru-RU"/>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C68C3">
              <w:rPr>
                <w:rFonts w:ascii="Times New Roman" w:hAnsi="Times New Roman"/>
                <w:iCs/>
                <w:sz w:val="22"/>
                <w:szCs w:val="22"/>
              </w:rPr>
              <w:t>HMS</w:t>
            </w:r>
            <w:r w:rsidRPr="00FC68C3">
              <w:rPr>
                <w:rFonts w:ascii="Times New Roman" w:hAnsi="Times New Roman"/>
                <w:iCs/>
                <w:sz w:val="22"/>
                <w:szCs w:val="22"/>
                <w:lang w:val="ru-RU"/>
              </w:rPr>
              <w:t xml:space="preserve"> </w:t>
            </w:r>
            <w:r w:rsidRPr="00FC68C3">
              <w:rPr>
                <w:rFonts w:ascii="Times New Roman" w:hAnsi="Times New Roman"/>
                <w:iCs/>
                <w:sz w:val="22"/>
                <w:szCs w:val="22"/>
              </w:rPr>
              <w:t>Group</w:t>
            </w:r>
          </w:p>
        </w:tc>
      </w:tr>
      <w:tr w:rsidR="001A0D81" w:rsidRPr="00FC68C3" w:rsidTr="001866DF">
        <w:tc>
          <w:tcPr>
            <w:tcW w:w="2977" w:type="dxa"/>
            <w:gridSpan w:val="3"/>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5. Срок финансирования</w:t>
            </w:r>
          </w:p>
        </w:tc>
        <w:tc>
          <w:tcPr>
            <w:tcW w:w="6379" w:type="dxa"/>
            <w:gridSpan w:val="2"/>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sz w:val="22"/>
                <w:szCs w:val="22"/>
              </w:rPr>
            </w:pPr>
            <w:r w:rsidRPr="00FC68C3">
              <w:rPr>
                <w:rFonts w:ascii="Times New Roman" w:hAnsi="Times New Roman"/>
                <w:iCs/>
                <w:sz w:val="22"/>
                <w:szCs w:val="22"/>
              </w:rPr>
              <w:t>Не более 60 месяцев</w:t>
            </w:r>
          </w:p>
        </w:tc>
      </w:tr>
      <w:tr w:rsidR="001A0D81" w:rsidRPr="00FC68C3" w:rsidTr="001866DF">
        <w:trPr>
          <w:trHeight w:val="28"/>
        </w:trPr>
        <w:tc>
          <w:tcPr>
            <w:tcW w:w="2977" w:type="dxa"/>
            <w:gridSpan w:val="3"/>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6. Погашение основного долга</w:t>
            </w:r>
          </w:p>
        </w:tc>
        <w:tc>
          <w:tcPr>
            <w:tcW w:w="6379" w:type="dxa"/>
            <w:gridSpan w:val="2"/>
            <w:tcMar>
              <w:top w:w="57" w:type="dxa"/>
              <w:left w:w="85" w:type="dxa"/>
              <w:bottom w:w="57" w:type="dxa"/>
              <w:right w:w="85" w:type="dxa"/>
            </w:tcMar>
            <w:vAlign w:val="center"/>
          </w:tcPr>
          <w:p w:rsidR="001A0D81" w:rsidRPr="00FC68C3" w:rsidRDefault="001A0D81" w:rsidP="00C747F6">
            <w:pPr>
              <w:jc w:val="both"/>
              <w:rPr>
                <w:i/>
                <w:iCs/>
                <w:sz w:val="22"/>
                <w:szCs w:val="22"/>
              </w:rPr>
            </w:pPr>
            <w:r w:rsidRPr="00FC68C3">
              <w:rPr>
                <w:sz w:val="22"/>
                <w:szCs w:val="22"/>
              </w:rPr>
              <w:t>Единовременно, в конце срока Договора</w:t>
            </w:r>
          </w:p>
        </w:tc>
      </w:tr>
      <w:tr w:rsidR="001A0D81" w:rsidRPr="00FC68C3" w:rsidTr="001866DF">
        <w:tc>
          <w:tcPr>
            <w:tcW w:w="9356" w:type="dxa"/>
            <w:gridSpan w:val="5"/>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7. Процентная ставка</w:t>
            </w:r>
          </w:p>
        </w:tc>
      </w:tr>
      <w:tr w:rsidR="001A0D81" w:rsidRPr="00FC68C3" w:rsidTr="001866DF">
        <w:trPr>
          <w:trHeight w:val="278"/>
        </w:trPr>
        <w:tc>
          <w:tcPr>
            <w:tcW w:w="2345" w:type="dxa"/>
            <w:gridSpan w:val="2"/>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p>
        </w:tc>
        <w:tc>
          <w:tcPr>
            <w:tcW w:w="7011" w:type="dxa"/>
            <w:gridSpan w:val="3"/>
            <w:tcMar>
              <w:top w:w="57" w:type="dxa"/>
              <w:left w:w="85" w:type="dxa"/>
              <w:bottom w:w="57" w:type="dxa"/>
              <w:right w:w="85" w:type="dxa"/>
            </w:tcMar>
          </w:tcPr>
          <w:p w:rsidR="001A0D81" w:rsidRPr="00FC68C3" w:rsidRDefault="001A0D81" w:rsidP="00C747F6">
            <w:pPr>
              <w:rPr>
                <w:sz w:val="22"/>
                <w:szCs w:val="22"/>
              </w:rPr>
            </w:pPr>
            <w:r w:rsidRPr="00FC68C3">
              <w:rPr>
                <w:sz w:val="22"/>
                <w:szCs w:val="22"/>
              </w:rPr>
              <w:t>размер Максимальной процентной ставки – не более 20% годовых</w:t>
            </w:r>
          </w:p>
        </w:tc>
      </w:tr>
      <w:tr w:rsidR="001A0D81" w:rsidRPr="00FC68C3" w:rsidTr="001866DF">
        <w:tc>
          <w:tcPr>
            <w:tcW w:w="2345" w:type="dxa"/>
            <w:gridSpan w:val="2"/>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Порядок уплаты</w:t>
            </w:r>
          </w:p>
        </w:tc>
        <w:tc>
          <w:tcPr>
            <w:tcW w:w="7011" w:type="dxa"/>
            <w:gridSpan w:val="3"/>
            <w:tcMar>
              <w:top w:w="57" w:type="dxa"/>
              <w:left w:w="85" w:type="dxa"/>
              <w:bottom w:w="57" w:type="dxa"/>
              <w:right w:w="85" w:type="dxa"/>
            </w:tcMar>
          </w:tcPr>
          <w:p w:rsidR="001A0D81" w:rsidRPr="00FC68C3" w:rsidRDefault="001A0D81" w:rsidP="00C747F6">
            <w:pPr>
              <w:pStyle w:val="a7"/>
              <w:spacing w:before="0" w:after="0"/>
              <w:rPr>
                <w:rFonts w:ascii="Times New Roman" w:hAnsi="Times New Roman"/>
                <w:i/>
                <w:iCs/>
                <w:sz w:val="22"/>
                <w:szCs w:val="22"/>
                <w:lang w:val="ru-RU"/>
              </w:rPr>
            </w:pPr>
            <w:r w:rsidRPr="00FC68C3">
              <w:rPr>
                <w:rFonts w:ascii="Times New Roman" w:hAnsi="Times New Roman"/>
                <w:sz w:val="22"/>
                <w:szCs w:val="22"/>
                <w:lang w:val="ru-RU"/>
              </w:rPr>
              <w:t>Ежемесячно «28» числа и в дату полного погашения кредита</w:t>
            </w:r>
          </w:p>
        </w:tc>
      </w:tr>
      <w:tr w:rsidR="001A0D81" w:rsidRPr="00FC68C3" w:rsidTr="001866DF">
        <w:tc>
          <w:tcPr>
            <w:tcW w:w="2217" w:type="dxa"/>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8. Неустойки</w:t>
            </w:r>
          </w:p>
        </w:tc>
        <w:tc>
          <w:tcPr>
            <w:tcW w:w="7139" w:type="dxa"/>
            <w:gridSpan w:val="4"/>
            <w:tcMar>
              <w:top w:w="57" w:type="dxa"/>
              <w:left w:w="85" w:type="dxa"/>
              <w:bottom w:w="57" w:type="dxa"/>
              <w:right w:w="85" w:type="dxa"/>
            </w:tcMar>
          </w:tcPr>
          <w:p w:rsidR="001A0D81" w:rsidRPr="00FC68C3" w:rsidRDefault="001A0D81" w:rsidP="00C747F6">
            <w:pPr>
              <w:pStyle w:val="a"/>
              <w:numPr>
                <w:ilvl w:val="0"/>
                <w:numId w:val="0"/>
              </w:numPr>
              <w:jc w:val="left"/>
              <w:rPr>
                <w:rFonts w:ascii="Times New Roman" w:hAnsi="Times New Roman" w:cs="Times New Roman"/>
                <w:b/>
                <w:bCs/>
                <w:sz w:val="22"/>
                <w:szCs w:val="22"/>
              </w:rPr>
            </w:pPr>
            <w:r w:rsidRPr="00FC68C3">
              <w:rPr>
                <w:rFonts w:ascii="Times New Roman" w:hAnsi="Times New Roman" w:cs="Times New Roman"/>
                <w:b/>
                <w:bCs/>
                <w:sz w:val="22"/>
                <w:szCs w:val="22"/>
              </w:rPr>
              <w:t>Размер</w:t>
            </w:r>
          </w:p>
        </w:tc>
      </w:tr>
      <w:tr w:rsidR="001A0D81" w:rsidRPr="00FC68C3" w:rsidTr="001866DF">
        <w:trPr>
          <w:trHeight w:val="657"/>
        </w:trPr>
        <w:tc>
          <w:tcPr>
            <w:tcW w:w="6753" w:type="dxa"/>
            <w:gridSpan w:val="4"/>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lang w:val="ru-RU"/>
              </w:rPr>
            </w:pPr>
            <w:r w:rsidRPr="00FC68C3">
              <w:rPr>
                <w:rFonts w:ascii="Times New Roman" w:hAnsi="Times New Roman"/>
                <w:b/>
                <w:sz w:val="22"/>
                <w:szCs w:val="22"/>
                <w:lang w:val="ru-RU"/>
              </w:rPr>
              <w:t>8.1.</w:t>
            </w:r>
            <w:r w:rsidRPr="00FC68C3">
              <w:rPr>
                <w:rFonts w:ascii="Times New Roman" w:hAnsi="Times New Roman"/>
                <w:b/>
                <w:sz w:val="22"/>
                <w:szCs w:val="22"/>
              </w:rPr>
              <w:t> </w:t>
            </w:r>
            <w:r w:rsidRPr="00FC68C3">
              <w:rPr>
                <w:rFonts w:ascii="Times New Roman" w:hAnsi="Times New Roman"/>
                <w:b/>
                <w:sz w:val="22"/>
                <w:szCs w:val="22"/>
                <w:lang w:val="ru-RU"/>
              </w:rPr>
              <w:t>За несвоевременное перечисление платежа в погашение кредита и/или уплату процентов и/или комиссионных платежей</w:t>
            </w:r>
          </w:p>
        </w:tc>
        <w:tc>
          <w:tcPr>
            <w:tcW w:w="2603" w:type="dxa"/>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Ключевая ставка Банка России, увеличенная в 2 раза</w:t>
            </w:r>
          </w:p>
        </w:tc>
      </w:tr>
      <w:tr w:rsidR="001A0D81" w:rsidRPr="00FC68C3" w:rsidTr="001866DF">
        <w:tc>
          <w:tcPr>
            <w:tcW w:w="2217" w:type="dxa"/>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sz w:val="22"/>
                <w:szCs w:val="22"/>
              </w:rPr>
            </w:pPr>
            <w:r w:rsidRPr="00FC68C3">
              <w:rPr>
                <w:rFonts w:ascii="Times New Roman" w:hAnsi="Times New Roman"/>
                <w:b/>
                <w:sz w:val="22"/>
                <w:szCs w:val="22"/>
              </w:rPr>
              <w:t>8.2. Иные неустойки</w:t>
            </w:r>
          </w:p>
        </w:tc>
        <w:tc>
          <w:tcPr>
            <w:tcW w:w="7139" w:type="dxa"/>
            <w:gridSpan w:val="4"/>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sz w:val="22"/>
                <w:szCs w:val="22"/>
                <w:lang w:val="ru-RU"/>
              </w:rPr>
            </w:pPr>
            <w:r w:rsidRPr="00FC68C3">
              <w:rPr>
                <w:rFonts w:ascii="Times New Roman" w:hAnsi="Times New Roman"/>
                <w:sz w:val="22"/>
                <w:szCs w:val="22"/>
                <w:lang w:val="ru-RU"/>
              </w:rPr>
              <w:t>Не более 500</w:t>
            </w:r>
            <w:r w:rsidRPr="00FC68C3">
              <w:rPr>
                <w:rFonts w:ascii="Times New Roman" w:hAnsi="Times New Roman"/>
                <w:sz w:val="22"/>
                <w:szCs w:val="22"/>
              </w:rPr>
              <w:t> </w:t>
            </w:r>
            <w:r w:rsidRPr="00FC68C3">
              <w:rPr>
                <w:rFonts w:ascii="Times New Roman" w:hAnsi="Times New Roman"/>
                <w:sz w:val="22"/>
                <w:szCs w:val="22"/>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1A0D81" w:rsidRPr="00FC68C3" w:rsidTr="001866DF">
        <w:trPr>
          <w:trHeight w:val="359"/>
        </w:trPr>
        <w:tc>
          <w:tcPr>
            <w:tcW w:w="2217" w:type="dxa"/>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9. Прочие условия</w:t>
            </w:r>
          </w:p>
        </w:tc>
        <w:tc>
          <w:tcPr>
            <w:tcW w:w="7139" w:type="dxa"/>
            <w:gridSpan w:val="4"/>
            <w:tcMar>
              <w:top w:w="57" w:type="dxa"/>
              <w:left w:w="85" w:type="dxa"/>
              <w:bottom w:w="57" w:type="dxa"/>
              <w:right w:w="85" w:type="dxa"/>
            </w:tcMar>
          </w:tcPr>
          <w:p w:rsidR="001A0D81" w:rsidRPr="00FC68C3" w:rsidRDefault="001A0D81" w:rsidP="00C747F6">
            <w:pPr>
              <w:ind w:firstLine="284"/>
              <w:jc w:val="both"/>
              <w:rPr>
                <w:sz w:val="22"/>
                <w:szCs w:val="22"/>
              </w:rPr>
            </w:pPr>
            <w:r w:rsidRPr="00FC68C3">
              <w:rPr>
                <w:sz w:val="22"/>
                <w:szCs w:val="22"/>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1A0D81" w:rsidRPr="00FC68C3" w:rsidRDefault="001A0D81" w:rsidP="001A0D81">
            <w:pPr>
              <w:numPr>
                <w:ilvl w:val="0"/>
                <w:numId w:val="6"/>
              </w:numPr>
              <w:jc w:val="both"/>
              <w:rPr>
                <w:sz w:val="22"/>
                <w:szCs w:val="22"/>
              </w:rPr>
            </w:pPr>
            <w:r w:rsidRPr="00FC68C3">
              <w:rPr>
                <w:sz w:val="22"/>
                <w:szCs w:val="22"/>
              </w:rPr>
              <w:t>Net Debt / Ebitda по Группе компаний HMS Group менее 3,0;</w:t>
            </w:r>
          </w:p>
          <w:p w:rsidR="001A0D81" w:rsidRPr="00FC68C3" w:rsidRDefault="001A0D81" w:rsidP="001A0D81">
            <w:pPr>
              <w:numPr>
                <w:ilvl w:val="0"/>
                <w:numId w:val="6"/>
              </w:numPr>
              <w:jc w:val="both"/>
              <w:rPr>
                <w:sz w:val="22"/>
                <w:szCs w:val="22"/>
              </w:rPr>
            </w:pPr>
            <w:r w:rsidRPr="00FC68C3">
              <w:rPr>
                <w:sz w:val="22"/>
                <w:szCs w:val="22"/>
              </w:rPr>
              <w:t>FСash/Total Debt по Группе компаний HMS Group более 1,5</w:t>
            </w:r>
          </w:p>
          <w:p w:rsidR="001A0D81" w:rsidRPr="00FC68C3" w:rsidRDefault="001A0D81" w:rsidP="00C747F6">
            <w:pPr>
              <w:pStyle w:val="ae"/>
              <w:ind w:left="602"/>
              <w:jc w:val="both"/>
              <w:rPr>
                <w:b/>
                <w:iCs/>
                <w:sz w:val="22"/>
                <w:szCs w:val="22"/>
              </w:rPr>
            </w:pPr>
            <w:r w:rsidRPr="00FC68C3">
              <w:rPr>
                <w:b/>
                <w:sz w:val="22"/>
                <w:szCs w:val="22"/>
              </w:rPr>
              <w:t>срок действия Договора автоматически продляется до 60 месяцев.</w:t>
            </w:r>
          </w:p>
        </w:tc>
      </w:tr>
      <w:tr w:rsidR="001A0D81" w:rsidRPr="00FC68C3" w:rsidTr="001866DF">
        <w:trPr>
          <w:trHeight w:val="358"/>
        </w:trPr>
        <w:tc>
          <w:tcPr>
            <w:tcW w:w="2217" w:type="dxa"/>
            <w:tcMar>
              <w:top w:w="57" w:type="dxa"/>
              <w:left w:w="85" w:type="dxa"/>
              <w:bottom w:w="57" w:type="dxa"/>
              <w:right w:w="85" w:type="dxa"/>
            </w:tcMar>
          </w:tcPr>
          <w:p w:rsidR="001A0D81" w:rsidRPr="00FC68C3" w:rsidRDefault="001A0D81"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10. Срок действия договора поручительства</w:t>
            </w:r>
          </w:p>
        </w:tc>
        <w:tc>
          <w:tcPr>
            <w:tcW w:w="7139" w:type="dxa"/>
            <w:gridSpan w:val="4"/>
            <w:tcMar>
              <w:top w:w="57" w:type="dxa"/>
              <w:left w:w="85" w:type="dxa"/>
              <w:bottom w:w="57" w:type="dxa"/>
              <w:right w:w="85" w:type="dxa"/>
            </w:tcMar>
          </w:tcPr>
          <w:p w:rsidR="001A0D81" w:rsidRPr="00FC68C3" w:rsidRDefault="001A0D81" w:rsidP="00DF7EA2">
            <w:pPr>
              <w:jc w:val="both"/>
              <w:rPr>
                <w:sz w:val="22"/>
                <w:szCs w:val="22"/>
              </w:rPr>
            </w:pPr>
            <w:r w:rsidRPr="00FC68C3">
              <w:rPr>
                <w:sz w:val="22"/>
                <w:szCs w:val="22"/>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FC68C3">
              <w:rPr>
                <w:sz w:val="22"/>
                <w:szCs w:val="22"/>
                <w:lang w:eastAsia="x-none"/>
              </w:rPr>
              <w:t xml:space="preserve">ВКЛ </w:t>
            </w:r>
            <w:r w:rsidRPr="00FC68C3">
              <w:rPr>
                <w:sz w:val="22"/>
                <w:szCs w:val="22"/>
                <w:lang w:val="x-none" w:eastAsia="x-none"/>
              </w:rPr>
              <w:t>плюс 3 года включительно.</w:t>
            </w:r>
          </w:p>
        </w:tc>
      </w:tr>
    </w:tbl>
    <w:p w:rsidR="001A0D81" w:rsidRPr="00FC68C3" w:rsidRDefault="001A0D81" w:rsidP="00CF6D4B">
      <w:pPr>
        <w:ind w:right="-5"/>
        <w:jc w:val="both"/>
        <w:rPr>
          <w:i/>
          <w:sz w:val="22"/>
          <w:szCs w:val="22"/>
        </w:rPr>
      </w:pPr>
      <w:r w:rsidRPr="00FC68C3">
        <w:rPr>
          <w:i/>
          <w:sz w:val="22"/>
          <w:szCs w:val="22"/>
        </w:rPr>
        <w:t xml:space="preserve">Согласно п.6 ст.83 Федерального закона </w:t>
      </w:r>
      <w:r w:rsidRPr="00FC68C3">
        <w:rPr>
          <w:i/>
          <w:iCs/>
          <w:sz w:val="22"/>
          <w:szCs w:val="22"/>
        </w:rPr>
        <w:t>от 26.12.1995 N 208-ФЗ «Об акционерных обществах» указываются сведения о з</w:t>
      </w:r>
      <w:r w:rsidRPr="00FC68C3">
        <w:rPr>
          <w:i/>
          <w:sz w:val="22"/>
          <w:szCs w:val="22"/>
        </w:rPr>
        <w:t>аинтересованных в совершении сделки лицах и основаниях заинтересованности таких лиц:</w:t>
      </w:r>
    </w:p>
    <w:p w:rsidR="001A0D81" w:rsidRPr="00FC68C3" w:rsidRDefault="001A0D81" w:rsidP="001A0D81">
      <w:pPr>
        <w:autoSpaceDE w:val="0"/>
        <w:autoSpaceDN w:val="0"/>
        <w:adjustRightInd w:val="0"/>
        <w:jc w:val="both"/>
        <w:rPr>
          <w:rFonts w:eastAsia="Calibri"/>
          <w:i/>
          <w:sz w:val="22"/>
          <w:szCs w:val="22"/>
        </w:rPr>
      </w:pPr>
      <w:r w:rsidRPr="00FC68C3">
        <w:rPr>
          <w:rFonts w:eastAsia="Calibri"/>
          <w:i/>
          <w:sz w:val="22"/>
          <w:szCs w:val="22"/>
        </w:rPr>
        <w:t>1</w:t>
      </w:r>
      <w:r w:rsidRPr="00FC68C3">
        <w:rPr>
          <w:i/>
          <w:sz w:val="22"/>
          <w:szCs w:val="22"/>
        </w:rPr>
        <w:t>. контролирующее лицо Общества - АО «ГМС Нефтемаш» является Стороной по сделке);</w:t>
      </w:r>
    </w:p>
    <w:p w:rsidR="001A0D81" w:rsidRPr="00FC68C3" w:rsidRDefault="001A0D81" w:rsidP="001A0D81">
      <w:pPr>
        <w:autoSpaceDE w:val="0"/>
        <w:autoSpaceDN w:val="0"/>
        <w:adjustRightInd w:val="0"/>
        <w:jc w:val="both"/>
        <w:rPr>
          <w:rFonts w:eastAsia="Calibri"/>
          <w:i/>
          <w:sz w:val="22"/>
          <w:szCs w:val="22"/>
        </w:rPr>
      </w:pPr>
      <w:r w:rsidRPr="00FC68C3">
        <w:rPr>
          <w:i/>
          <w:sz w:val="22"/>
          <w:szCs w:val="22"/>
        </w:rPr>
        <w:t>2. косвенно контролирующее лицо Общества - АО «Группа ГМС» (является контролирующим лицом АО «ГМС Нефтемаш»  - Стороны по сделке);</w:t>
      </w:r>
    </w:p>
    <w:p w:rsidR="001A0D81" w:rsidRPr="00FC68C3" w:rsidRDefault="001A0D81" w:rsidP="001A0D81">
      <w:pPr>
        <w:autoSpaceDE w:val="0"/>
        <w:autoSpaceDN w:val="0"/>
        <w:adjustRightInd w:val="0"/>
        <w:jc w:val="both"/>
        <w:rPr>
          <w:rFonts w:eastAsia="Calibri"/>
          <w:i/>
          <w:sz w:val="22"/>
          <w:szCs w:val="22"/>
        </w:rPr>
      </w:pPr>
      <w:r w:rsidRPr="00FC68C3">
        <w:rPr>
          <w:i/>
          <w:sz w:val="22"/>
          <w:szCs w:val="22"/>
        </w:rPr>
        <w:t>3</w:t>
      </w:r>
      <w:r w:rsidRPr="000D024F">
        <w:rPr>
          <w:i/>
          <w:sz w:val="22"/>
          <w:szCs w:val="22"/>
        </w:rPr>
        <w:t xml:space="preserve">. косвенно контролирующее лицо Общества - </w:t>
      </w:r>
      <w:r w:rsidRPr="000D024F">
        <w:rPr>
          <w:bCs/>
          <w:i/>
          <w:sz w:val="22"/>
          <w:szCs w:val="22"/>
        </w:rPr>
        <w:t>HMS HYDRAULIC MACHINES &amp; SYSTEMS GROUP PLC</w:t>
      </w:r>
      <w:r w:rsidRPr="00FC68C3">
        <w:rPr>
          <w:i/>
          <w:sz w:val="22"/>
          <w:szCs w:val="22"/>
        </w:rPr>
        <w:t xml:space="preserve"> (является косвенно контролирующим лицом АО «ГМС Нефтемаш» - Стороны по сделке);</w:t>
      </w:r>
    </w:p>
    <w:p w:rsidR="001A0D81" w:rsidRPr="00FC68C3" w:rsidRDefault="001A0D81" w:rsidP="001A0D81">
      <w:pPr>
        <w:autoSpaceDE w:val="0"/>
        <w:autoSpaceDN w:val="0"/>
        <w:adjustRightInd w:val="0"/>
        <w:jc w:val="both"/>
        <w:rPr>
          <w:i/>
          <w:sz w:val="22"/>
          <w:szCs w:val="22"/>
        </w:rPr>
      </w:pPr>
      <w:r w:rsidRPr="00FC68C3">
        <w:rPr>
          <w:i/>
          <w:iCs/>
          <w:sz w:val="22"/>
          <w:szCs w:val="22"/>
        </w:rPr>
        <w:t>4</w:t>
      </w:r>
      <w:r w:rsidRPr="000D024F">
        <w:rPr>
          <w:i/>
          <w:iCs/>
          <w:sz w:val="22"/>
          <w:szCs w:val="22"/>
        </w:rPr>
        <w:t xml:space="preserve">. </w:t>
      </w:r>
      <w:r w:rsidRPr="000D024F">
        <w:rPr>
          <w:i/>
          <w:sz w:val="22"/>
          <w:szCs w:val="22"/>
        </w:rPr>
        <w:t>члены совета директоров Общества Скрынник Юрий Николаевич, Игнатов А.В., Новиков А.Е. (являютс</w:t>
      </w:r>
      <w:r w:rsidRPr="00FC68C3">
        <w:rPr>
          <w:i/>
          <w:sz w:val="22"/>
          <w:szCs w:val="22"/>
        </w:rPr>
        <w:t>я членами совета директоров АО «ГМС Нефтемаш» - Стороны по сделке);</w:t>
      </w:r>
    </w:p>
    <w:p w:rsidR="001A0D81" w:rsidRPr="000D024F" w:rsidRDefault="001A0D81" w:rsidP="001A0D81">
      <w:pPr>
        <w:autoSpaceDE w:val="0"/>
        <w:autoSpaceDN w:val="0"/>
        <w:adjustRightInd w:val="0"/>
        <w:jc w:val="both"/>
        <w:rPr>
          <w:i/>
          <w:sz w:val="22"/>
          <w:szCs w:val="22"/>
        </w:rPr>
      </w:pPr>
      <w:r w:rsidRPr="00FC68C3">
        <w:rPr>
          <w:i/>
          <w:sz w:val="22"/>
          <w:szCs w:val="22"/>
        </w:rPr>
        <w:t>5</w:t>
      </w:r>
      <w:r w:rsidRPr="000D024F">
        <w:rPr>
          <w:i/>
          <w:sz w:val="22"/>
          <w:szCs w:val="22"/>
        </w:rPr>
        <w:t xml:space="preserve">. управляющая организация Общества - </w:t>
      </w:r>
      <w:r w:rsidRPr="000D024F">
        <w:rPr>
          <w:rFonts w:eastAsia="Calibri"/>
          <w:i/>
          <w:sz w:val="22"/>
          <w:szCs w:val="22"/>
        </w:rPr>
        <w:t xml:space="preserve">ООО «УК «Группа ГМС» (является также </w:t>
      </w:r>
      <w:r w:rsidRPr="000D024F">
        <w:rPr>
          <w:i/>
          <w:sz w:val="22"/>
          <w:szCs w:val="22"/>
        </w:rPr>
        <w:t>управляющей организацией АО «ГМС Нефтемаш» - Стороны по сделке).</w:t>
      </w:r>
    </w:p>
    <w:p w:rsidR="00900183" w:rsidRPr="00900183" w:rsidRDefault="00900183" w:rsidP="00900183">
      <w:pPr>
        <w:jc w:val="both"/>
        <w:rPr>
          <w:sz w:val="22"/>
          <w:szCs w:val="22"/>
        </w:rPr>
      </w:pPr>
      <w:r w:rsidRPr="00900183">
        <w:rPr>
          <w:sz w:val="22"/>
          <w:szCs w:val="22"/>
          <w:u w:val="single"/>
        </w:rPr>
        <w:t>Цена сделки:</w:t>
      </w:r>
      <w:r w:rsidRPr="00900183">
        <w:rPr>
          <w:sz w:val="22"/>
          <w:szCs w:val="22"/>
        </w:rPr>
        <w:t xml:space="preserve"> (с учетом суммы ранее принятых непогашенных денежных обязательств Поручителя перед Банком) определена в размере</w:t>
      </w:r>
      <w:r w:rsidRPr="00900183">
        <w:rPr>
          <w:b/>
          <w:sz w:val="22"/>
          <w:szCs w:val="22"/>
        </w:rPr>
        <w:t xml:space="preserve"> </w:t>
      </w:r>
      <w:r w:rsidRPr="00900183">
        <w:rPr>
          <w:sz w:val="22"/>
          <w:szCs w:val="22"/>
        </w:rPr>
        <w:t>8 </w:t>
      </w:r>
      <w:r w:rsidR="009E4A19">
        <w:rPr>
          <w:sz w:val="22"/>
          <w:szCs w:val="22"/>
        </w:rPr>
        <w:t>1</w:t>
      </w:r>
      <w:r w:rsidRPr="00900183">
        <w:rPr>
          <w:sz w:val="22"/>
          <w:szCs w:val="22"/>
        </w:rPr>
        <w:t xml:space="preserve">80 000 000 </w:t>
      </w:r>
      <w:r w:rsidR="009E4A19">
        <w:rPr>
          <w:sz w:val="22"/>
          <w:szCs w:val="22"/>
        </w:rPr>
        <w:t>(Восемь миллиардов сто</w:t>
      </w:r>
      <w:r w:rsidRPr="00900183">
        <w:rPr>
          <w:sz w:val="22"/>
          <w:szCs w:val="22"/>
        </w:rPr>
        <w:t xml:space="preserve"> восемьдесят миллионов) рублей, что с</w:t>
      </w:r>
      <w:r w:rsidR="009E4A19">
        <w:rPr>
          <w:sz w:val="22"/>
          <w:szCs w:val="22"/>
        </w:rPr>
        <w:t>оставляет 207,332</w:t>
      </w:r>
      <w:r w:rsidRPr="00900183">
        <w:rPr>
          <w:sz w:val="22"/>
          <w:szCs w:val="22"/>
        </w:rPr>
        <w:t xml:space="preserve"> % от стоимости активов Поручителя по состоянию на 30.06.2017г.</w:t>
      </w:r>
    </w:p>
    <w:p w:rsidR="001A0D81" w:rsidRPr="00FC68C3" w:rsidRDefault="001A0D81" w:rsidP="001A0D81">
      <w:pPr>
        <w:ind w:firstLine="709"/>
        <w:rPr>
          <w:b/>
          <w:sz w:val="22"/>
          <w:szCs w:val="22"/>
          <w:lang w:eastAsia="x-none"/>
        </w:rPr>
      </w:pPr>
    </w:p>
    <w:p w:rsidR="0023504A" w:rsidRPr="0023504A" w:rsidRDefault="00E40748" w:rsidP="0023504A">
      <w:pPr>
        <w:jc w:val="both"/>
        <w:rPr>
          <w:b/>
          <w:caps/>
        </w:rPr>
      </w:pPr>
      <w:r w:rsidRPr="00EC653A">
        <w:rPr>
          <w:b/>
          <w:caps/>
        </w:rPr>
        <w:lastRenderedPageBreak/>
        <w:t xml:space="preserve">По вопросу №4: </w:t>
      </w:r>
      <w:r w:rsidR="0023504A"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0023504A" w:rsidRPr="00FC68C3">
        <w:rPr>
          <w:iCs/>
          <w:sz w:val="22"/>
          <w:szCs w:val="22"/>
        </w:rPr>
        <w:t>Возобновляемой рамочной кредитной линии с дифференцированными ставками между АО «ГМС Ливгидромаш» и ПАО Сбербанк.</w:t>
      </w:r>
    </w:p>
    <w:p w:rsidR="00EC16FC" w:rsidRPr="005D3318" w:rsidRDefault="00EC16FC" w:rsidP="00EC16FC">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C16FC" w:rsidRDefault="00EC16FC" w:rsidP="00C747F6">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sz w:val="22"/>
                <w:szCs w:val="22"/>
              </w:rPr>
            </w:pPr>
            <w:r>
              <w:rPr>
                <w:sz w:val="22"/>
                <w:szCs w:val="22"/>
              </w:rPr>
              <w:t>Сделка с заинтересованностью</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C16FC" w:rsidRDefault="00EC16FC" w:rsidP="00C747F6">
            <w:pPr>
              <w:overflowPunct w:val="0"/>
              <w:autoSpaceDE w:val="0"/>
              <w:autoSpaceDN w:val="0"/>
              <w:adjustRightInd w:val="0"/>
              <w:jc w:val="center"/>
              <w:rPr>
                <w:b/>
                <w:sz w:val="22"/>
                <w:szCs w:val="22"/>
              </w:rPr>
            </w:pPr>
            <w:r>
              <w:rPr>
                <w:b/>
                <w:sz w:val="22"/>
                <w:szCs w:val="22"/>
              </w:rPr>
              <w:t>%</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C16FC" w:rsidRPr="00310CE2" w:rsidRDefault="00EC16FC" w:rsidP="00C747F6">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bCs/>
                <w:sz w:val="22"/>
                <w:szCs w:val="22"/>
              </w:rPr>
            </w:pPr>
            <w:r>
              <w:rPr>
                <w:bCs/>
                <w:sz w:val="22"/>
                <w:szCs w:val="22"/>
              </w:rPr>
              <w:t>100</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r>
      <w:tr w:rsidR="00EC16FC"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C16FC" w:rsidRDefault="00EC16FC" w:rsidP="00C747F6">
            <w:pPr>
              <w:overflowPunct w:val="0"/>
              <w:autoSpaceDE w:val="0"/>
              <w:autoSpaceDN w:val="0"/>
              <w:adjustRightInd w:val="0"/>
              <w:jc w:val="right"/>
              <w:rPr>
                <w:sz w:val="22"/>
                <w:szCs w:val="22"/>
              </w:rPr>
            </w:pPr>
            <w:r>
              <w:rPr>
                <w:sz w:val="22"/>
                <w:szCs w:val="22"/>
              </w:rPr>
              <w:t>0</w:t>
            </w:r>
          </w:p>
        </w:tc>
      </w:tr>
    </w:tbl>
    <w:p w:rsidR="00EC16FC" w:rsidRDefault="00EC16FC" w:rsidP="00EC16FC">
      <w:pPr>
        <w:tabs>
          <w:tab w:val="left" w:pos="9000"/>
        </w:tabs>
        <w:rPr>
          <w:b/>
          <w:bCs/>
          <w:sz w:val="20"/>
          <w:szCs w:val="20"/>
        </w:rPr>
      </w:pPr>
    </w:p>
    <w:p w:rsidR="00EC16FC" w:rsidRPr="001812D3" w:rsidRDefault="00EC16FC" w:rsidP="00EC16FC">
      <w:pPr>
        <w:tabs>
          <w:tab w:val="left" w:pos="9000"/>
        </w:tabs>
        <w:rPr>
          <w:b/>
          <w:bCs/>
        </w:rPr>
      </w:pPr>
      <w:r w:rsidRPr="001812D3">
        <w:rPr>
          <w:b/>
          <w:bCs/>
        </w:rPr>
        <w:t>Кворум для принятия решения по данному вопросу имеется.</w:t>
      </w:r>
    </w:p>
    <w:p w:rsidR="00EC16FC" w:rsidRDefault="00EC16FC" w:rsidP="00EC16FC">
      <w:pPr>
        <w:tabs>
          <w:tab w:val="left" w:pos="2660"/>
          <w:tab w:val="left" w:pos="10704"/>
        </w:tabs>
        <w:spacing w:before="120"/>
        <w:jc w:val="both"/>
      </w:pPr>
      <w:r w:rsidRPr="001812D3">
        <w:rPr>
          <w:b/>
        </w:rPr>
        <w:t>Принято решение</w:t>
      </w:r>
      <w:r w:rsidRPr="001812D3">
        <w:t xml:space="preserve">: </w:t>
      </w:r>
    </w:p>
    <w:p w:rsidR="00DE3C3E" w:rsidRPr="00FC68C3" w:rsidRDefault="00DE3C3E" w:rsidP="00E758E9">
      <w:pPr>
        <w:jc w:val="both"/>
        <w:rPr>
          <w:iCs/>
          <w:sz w:val="22"/>
          <w:szCs w:val="22"/>
        </w:rPr>
      </w:pPr>
      <w:r w:rsidRPr="00FC68C3">
        <w:rPr>
          <w:sz w:val="22"/>
          <w:szCs w:val="22"/>
        </w:rPr>
        <w:t xml:space="preserve">Принять решение о согласии на совершение крупной сделки, в совершении которой имеется заинтересованность, по заключению Договора поручительства к Возобновляемой рамочной кредитной линии с дифференцированными ставками </w:t>
      </w:r>
      <w:r w:rsidRPr="00FC68C3">
        <w:rPr>
          <w:iCs/>
          <w:sz w:val="22"/>
          <w:szCs w:val="22"/>
        </w:rPr>
        <w:t>на следующих условиях:</w:t>
      </w:r>
    </w:p>
    <w:p w:rsidR="00DE3C3E" w:rsidRPr="00E758E9" w:rsidRDefault="00DE3C3E" w:rsidP="00E758E9">
      <w:pPr>
        <w:pStyle w:val="21"/>
        <w:ind w:left="0"/>
        <w:jc w:val="both"/>
        <w:rPr>
          <w:sz w:val="22"/>
          <w:szCs w:val="22"/>
        </w:rPr>
      </w:pPr>
      <w:r w:rsidRPr="00E758E9">
        <w:rPr>
          <w:sz w:val="22"/>
          <w:szCs w:val="22"/>
        </w:rPr>
        <w:t>Стороны сделки:</w:t>
      </w:r>
    </w:p>
    <w:p w:rsidR="00DE3C3E" w:rsidRPr="00E758E9" w:rsidRDefault="00DE3C3E" w:rsidP="00E758E9">
      <w:pPr>
        <w:pStyle w:val="ac"/>
        <w:spacing w:before="0" w:beforeAutospacing="0" w:after="0" w:afterAutospacing="0"/>
        <w:contextualSpacing/>
        <w:jc w:val="both"/>
        <w:rPr>
          <w:iCs/>
          <w:sz w:val="22"/>
          <w:szCs w:val="22"/>
        </w:rPr>
      </w:pPr>
      <w:r w:rsidRPr="00E758E9">
        <w:rPr>
          <w:bCs/>
          <w:sz w:val="22"/>
          <w:szCs w:val="22"/>
        </w:rPr>
        <w:t xml:space="preserve">Банк: </w:t>
      </w:r>
      <w:r w:rsidRPr="00E758E9">
        <w:rPr>
          <w:iCs/>
          <w:sz w:val="22"/>
          <w:szCs w:val="22"/>
        </w:rPr>
        <w:t>ПАО Сбербанк;</w:t>
      </w:r>
    </w:p>
    <w:p w:rsidR="00DE3C3E" w:rsidRPr="00E758E9" w:rsidRDefault="00DE3C3E" w:rsidP="00E758E9">
      <w:pPr>
        <w:pStyle w:val="ac"/>
        <w:spacing w:before="0" w:beforeAutospacing="0" w:after="0" w:afterAutospacing="0"/>
        <w:contextualSpacing/>
        <w:jc w:val="both"/>
        <w:rPr>
          <w:iCs/>
          <w:sz w:val="22"/>
          <w:szCs w:val="22"/>
        </w:rPr>
      </w:pPr>
      <w:r w:rsidRPr="00E758E9">
        <w:rPr>
          <w:iCs/>
          <w:sz w:val="22"/>
          <w:szCs w:val="22"/>
        </w:rPr>
        <w:t>Заемщик: АО «ГМС Ливгидромаш»;</w:t>
      </w:r>
    </w:p>
    <w:p w:rsidR="00DE3C3E" w:rsidRPr="00E758E9" w:rsidRDefault="00DE3C3E" w:rsidP="00E758E9">
      <w:pPr>
        <w:pStyle w:val="ac"/>
        <w:spacing w:before="0" w:beforeAutospacing="0" w:after="0" w:afterAutospacing="0"/>
        <w:contextualSpacing/>
        <w:jc w:val="both"/>
        <w:rPr>
          <w:iCs/>
          <w:sz w:val="22"/>
          <w:szCs w:val="22"/>
        </w:rPr>
      </w:pPr>
      <w:r w:rsidRPr="00E758E9">
        <w:rPr>
          <w:iCs/>
          <w:sz w:val="22"/>
          <w:szCs w:val="22"/>
        </w:rPr>
        <w:t>Поручитель: АО «Сибнефтемаш»</w:t>
      </w:r>
    </w:p>
    <w:p w:rsidR="00DE3C3E" w:rsidRPr="00E758E9" w:rsidRDefault="00DE3C3E" w:rsidP="00E758E9">
      <w:pPr>
        <w:pStyle w:val="ac"/>
        <w:spacing w:before="0" w:beforeAutospacing="0" w:after="0" w:afterAutospacing="0"/>
        <w:contextualSpacing/>
        <w:jc w:val="both"/>
        <w:rPr>
          <w:bCs/>
          <w:sz w:val="22"/>
          <w:szCs w:val="22"/>
        </w:rPr>
      </w:pPr>
      <w:r w:rsidRPr="00E758E9">
        <w:rPr>
          <w:bCs/>
          <w:sz w:val="22"/>
          <w:szCs w:val="22"/>
        </w:rPr>
        <w:t>Существенные условия сделки: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851"/>
        <w:gridCol w:w="3260"/>
        <w:gridCol w:w="567"/>
        <w:gridCol w:w="2178"/>
      </w:tblGrid>
      <w:tr w:rsidR="00DE3C3E" w:rsidRPr="00FC68C3" w:rsidTr="00E758E9">
        <w:tc>
          <w:tcPr>
            <w:tcW w:w="3351" w:type="dxa"/>
            <w:gridSpan w:val="2"/>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1.</w:t>
            </w:r>
            <w:r w:rsidRPr="00FC68C3">
              <w:rPr>
                <w:rFonts w:ascii="Times New Roman" w:hAnsi="Times New Roman"/>
                <w:b/>
                <w:bCs/>
                <w:sz w:val="22"/>
                <w:szCs w:val="22"/>
              </w:rPr>
              <w:t> </w:t>
            </w:r>
            <w:r w:rsidRPr="00FC68C3">
              <w:rPr>
                <w:rFonts w:ascii="Times New Roman" w:hAnsi="Times New Roman"/>
                <w:b/>
                <w:bCs/>
                <w:sz w:val="22"/>
                <w:szCs w:val="22"/>
                <w:lang w:val="ru-RU"/>
              </w:rPr>
              <w:t>Вид сделки</w:t>
            </w:r>
          </w:p>
        </w:tc>
        <w:tc>
          <w:tcPr>
            <w:tcW w:w="6005" w:type="dxa"/>
            <w:gridSpan w:val="3"/>
            <w:tcMar>
              <w:top w:w="57" w:type="dxa"/>
              <w:left w:w="85" w:type="dxa"/>
              <w:bottom w:w="57" w:type="dxa"/>
              <w:right w:w="85" w:type="dxa"/>
            </w:tcMar>
          </w:tcPr>
          <w:p w:rsidR="00DE3C3E" w:rsidRPr="00FC68C3" w:rsidRDefault="00DE3C3E" w:rsidP="00A555BB">
            <w:pPr>
              <w:pStyle w:val="a7"/>
              <w:spacing w:before="0" w:after="0"/>
              <w:rPr>
                <w:rFonts w:ascii="Times New Roman" w:hAnsi="Times New Roman"/>
                <w:b/>
                <w:bCs/>
                <w:iCs/>
                <w:sz w:val="22"/>
                <w:szCs w:val="22"/>
                <w:lang w:val="ru-RU"/>
              </w:rPr>
            </w:pPr>
            <w:r w:rsidRPr="00FC68C3">
              <w:rPr>
                <w:rFonts w:ascii="Times New Roman" w:hAnsi="Times New Roman"/>
                <w:iCs/>
                <w:sz w:val="22"/>
                <w:szCs w:val="22"/>
                <w:lang w:val="ru-RU"/>
              </w:rPr>
              <w:t>Возобновляемая рамочная кредитная линия с дифференцированными ставками (ВРКЛДС)</w:t>
            </w:r>
          </w:p>
        </w:tc>
      </w:tr>
      <w:tr w:rsidR="00DE3C3E" w:rsidRPr="00FC68C3" w:rsidTr="00E758E9">
        <w:tc>
          <w:tcPr>
            <w:tcW w:w="3351" w:type="dxa"/>
            <w:gridSpan w:val="2"/>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2.</w:t>
            </w:r>
            <w:r w:rsidRPr="00FC68C3">
              <w:rPr>
                <w:rFonts w:ascii="Times New Roman" w:hAnsi="Times New Roman"/>
                <w:b/>
                <w:bCs/>
                <w:sz w:val="22"/>
                <w:szCs w:val="22"/>
              </w:rPr>
              <w:t> </w:t>
            </w:r>
            <w:r w:rsidRPr="00FC68C3">
              <w:rPr>
                <w:rFonts w:ascii="Times New Roman" w:hAnsi="Times New Roman"/>
                <w:b/>
                <w:bCs/>
                <w:sz w:val="22"/>
                <w:szCs w:val="22"/>
                <w:lang w:val="ru-RU"/>
              </w:rPr>
              <w:t>Заемщик</w:t>
            </w:r>
          </w:p>
        </w:tc>
        <w:tc>
          <w:tcPr>
            <w:tcW w:w="6005" w:type="dxa"/>
            <w:gridSpan w:val="3"/>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iCs/>
                <w:sz w:val="22"/>
                <w:szCs w:val="22"/>
              </w:rPr>
            </w:pPr>
            <w:r w:rsidRPr="00FC68C3">
              <w:rPr>
                <w:rFonts w:ascii="Times New Roman" w:hAnsi="Times New Roman"/>
                <w:iCs/>
                <w:sz w:val="22"/>
                <w:szCs w:val="22"/>
                <w:lang w:val="ru-RU"/>
              </w:rPr>
              <w:t>АО «ГМС Ливгидромаш»</w:t>
            </w:r>
          </w:p>
        </w:tc>
      </w:tr>
      <w:tr w:rsidR="00DE3C3E" w:rsidRPr="00FC68C3" w:rsidTr="00E758E9">
        <w:tc>
          <w:tcPr>
            <w:tcW w:w="3351" w:type="dxa"/>
            <w:gridSpan w:val="2"/>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3. Сумма финансирования</w:t>
            </w:r>
          </w:p>
        </w:tc>
        <w:tc>
          <w:tcPr>
            <w:tcW w:w="6005" w:type="dxa"/>
            <w:gridSpan w:val="3"/>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 xml:space="preserve">Не более </w:t>
            </w:r>
            <w:r w:rsidRPr="00FC68C3">
              <w:rPr>
                <w:rFonts w:ascii="Times New Roman" w:hAnsi="Times New Roman"/>
                <w:iCs/>
                <w:sz w:val="22"/>
                <w:szCs w:val="22"/>
                <w:lang w:val="ru-RU"/>
              </w:rPr>
              <w:t>5</w:t>
            </w:r>
            <w:r w:rsidRPr="00FC68C3">
              <w:rPr>
                <w:rFonts w:ascii="Times New Roman" w:hAnsi="Times New Roman"/>
                <w:iCs/>
                <w:sz w:val="22"/>
                <w:szCs w:val="22"/>
              </w:rPr>
              <w:t>00</w:t>
            </w:r>
            <w:r w:rsidRPr="00FC68C3">
              <w:rPr>
                <w:rFonts w:ascii="Times New Roman" w:hAnsi="Times New Roman"/>
                <w:iCs/>
                <w:sz w:val="22"/>
                <w:szCs w:val="22"/>
                <w:lang w:val="ru-RU"/>
              </w:rPr>
              <w:t xml:space="preserve"> 000</w:t>
            </w:r>
            <w:r w:rsidRPr="00FC68C3">
              <w:rPr>
                <w:rFonts w:ascii="Times New Roman" w:hAnsi="Times New Roman"/>
                <w:iCs/>
                <w:sz w:val="22"/>
                <w:szCs w:val="22"/>
              </w:rPr>
              <w:t> 000,00 рублей</w:t>
            </w:r>
          </w:p>
        </w:tc>
      </w:tr>
      <w:tr w:rsidR="00DE3C3E" w:rsidRPr="00FC68C3" w:rsidTr="00E758E9">
        <w:tc>
          <w:tcPr>
            <w:tcW w:w="3351" w:type="dxa"/>
            <w:gridSpan w:val="2"/>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4.</w:t>
            </w:r>
            <w:r w:rsidRPr="00FC68C3">
              <w:rPr>
                <w:rFonts w:ascii="Times New Roman" w:hAnsi="Times New Roman"/>
                <w:b/>
                <w:bCs/>
                <w:sz w:val="22"/>
                <w:szCs w:val="22"/>
              </w:rPr>
              <w:t> </w:t>
            </w:r>
            <w:r w:rsidRPr="00FC68C3">
              <w:rPr>
                <w:rFonts w:ascii="Times New Roman" w:hAnsi="Times New Roman"/>
                <w:b/>
                <w:bCs/>
                <w:sz w:val="22"/>
                <w:szCs w:val="22"/>
                <w:lang w:val="ru-RU"/>
              </w:rPr>
              <w:t>Цель финансирования (целевое назначение кредита)</w:t>
            </w:r>
          </w:p>
        </w:tc>
        <w:tc>
          <w:tcPr>
            <w:tcW w:w="6005" w:type="dxa"/>
            <w:gridSpan w:val="3"/>
            <w:tcMar>
              <w:top w:w="57" w:type="dxa"/>
              <w:left w:w="85" w:type="dxa"/>
              <w:bottom w:w="57" w:type="dxa"/>
              <w:right w:w="85" w:type="dxa"/>
            </w:tcMar>
          </w:tcPr>
          <w:p w:rsidR="00DE3C3E" w:rsidRPr="00FC68C3" w:rsidRDefault="00DE3C3E" w:rsidP="00C747F6">
            <w:pPr>
              <w:pStyle w:val="a7"/>
              <w:spacing w:before="0" w:after="0"/>
              <w:rPr>
                <w:rFonts w:ascii="Times New Roman" w:hAnsi="Times New Roman"/>
                <w:i/>
                <w:iCs/>
                <w:sz w:val="22"/>
                <w:szCs w:val="22"/>
                <w:lang w:val="ru-RU"/>
              </w:rPr>
            </w:pPr>
            <w:r w:rsidRPr="00FC68C3">
              <w:rPr>
                <w:rFonts w:ascii="Times New Roman" w:hAnsi="Times New Roman"/>
                <w:iCs/>
                <w:sz w:val="22"/>
                <w:szCs w:val="22"/>
                <w:lang w:val="ru-RU"/>
              </w:rPr>
              <w:t xml:space="preserve">Осуществление текущей деятельности, приобретение оборотных и внеоборотных активов, погашение текущей задолженности по кредитам и займам, предоставление займов компаниям, </w:t>
            </w:r>
            <w:r w:rsidRPr="00FC68C3">
              <w:rPr>
                <w:rFonts w:ascii="Times New Roman" w:hAnsi="Times New Roman"/>
                <w:sz w:val="22"/>
                <w:szCs w:val="22"/>
                <w:lang w:val="ru-RU"/>
              </w:rPr>
              <w:t xml:space="preserve">входящим в состав Группы компаний </w:t>
            </w:r>
            <w:r w:rsidRPr="00FC68C3">
              <w:rPr>
                <w:rFonts w:ascii="Times New Roman" w:hAnsi="Times New Roman"/>
                <w:sz w:val="22"/>
                <w:szCs w:val="22"/>
              </w:rPr>
              <w:t>HMS</w:t>
            </w:r>
            <w:r w:rsidRPr="00FC68C3">
              <w:rPr>
                <w:rFonts w:ascii="Times New Roman" w:hAnsi="Times New Roman"/>
                <w:sz w:val="22"/>
                <w:szCs w:val="22"/>
                <w:lang w:val="ru-RU"/>
              </w:rPr>
              <w:t xml:space="preserve"> </w:t>
            </w:r>
            <w:r w:rsidRPr="00FC68C3">
              <w:rPr>
                <w:rFonts w:ascii="Times New Roman" w:hAnsi="Times New Roman"/>
                <w:sz w:val="22"/>
                <w:szCs w:val="22"/>
              </w:rPr>
              <w:t>Group</w:t>
            </w:r>
            <w:r w:rsidRPr="00FC68C3">
              <w:rPr>
                <w:rFonts w:ascii="Times New Roman" w:hAnsi="Times New Roman"/>
                <w:iCs/>
                <w:sz w:val="22"/>
                <w:szCs w:val="22"/>
                <w:lang w:val="ru-RU"/>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C68C3">
              <w:rPr>
                <w:rFonts w:ascii="Times New Roman" w:hAnsi="Times New Roman"/>
                <w:iCs/>
                <w:sz w:val="22"/>
                <w:szCs w:val="22"/>
              </w:rPr>
              <w:t>HMS</w:t>
            </w:r>
            <w:r w:rsidRPr="00FC68C3">
              <w:rPr>
                <w:rFonts w:ascii="Times New Roman" w:hAnsi="Times New Roman"/>
                <w:iCs/>
                <w:sz w:val="22"/>
                <w:szCs w:val="22"/>
                <w:lang w:val="ru-RU"/>
              </w:rPr>
              <w:t xml:space="preserve"> </w:t>
            </w:r>
            <w:r w:rsidRPr="00FC68C3">
              <w:rPr>
                <w:rFonts w:ascii="Times New Roman" w:hAnsi="Times New Roman"/>
                <w:iCs/>
                <w:sz w:val="22"/>
                <w:szCs w:val="22"/>
              </w:rPr>
              <w:t>Group</w:t>
            </w:r>
          </w:p>
        </w:tc>
      </w:tr>
      <w:tr w:rsidR="00DE3C3E" w:rsidRPr="00FC68C3" w:rsidTr="00E758E9">
        <w:tc>
          <w:tcPr>
            <w:tcW w:w="3351" w:type="dxa"/>
            <w:gridSpan w:val="2"/>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5. Срок финансирования</w:t>
            </w:r>
          </w:p>
        </w:tc>
        <w:tc>
          <w:tcPr>
            <w:tcW w:w="6005" w:type="dxa"/>
            <w:gridSpan w:val="3"/>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sz w:val="22"/>
                <w:szCs w:val="22"/>
              </w:rPr>
            </w:pPr>
            <w:r w:rsidRPr="00FC68C3">
              <w:rPr>
                <w:rFonts w:ascii="Times New Roman" w:hAnsi="Times New Roman"/>
                <w:iCs/>
                <w:sz w:val="22"/>
                <w:szCs w:val="22"/>
              </w:rPr>
              <w:t>Не более 60 месяцев</w:t>
            </w:r>
          </w:p>
        </w:tc>
      </w:tr>
      <w:tr w:rsidR="00DE3C3E" w:rsidRPr="00FC68C3" w:rsidTr="00E758E9">
        <w:trPr>
          <w:trHeight w:val="28"/>
        </w:trPr>
        <w:tc>
          <w:tcPr>
            <w:tcW w:w="3351" w:type="dxa"/>
            <w:gridSpan w:val="2"/>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6. Погашение основного долга</w:t>
            </w:r>
          </w:p>
        </w:tc>
        <w:tc>
          <w:tcPr>
            <w:tcW w:w="6005" w:type="dxa"/>
            <w:gridSpan w:val="3"/>
            <w:tcMar>
              <w:top w:w="57" w:type="dxa"/>
              <w:left w:w="85" w:type="dxa"/>
              <w:bottom w:w="57" w:type="dxa"/>
              <w:right w:w="85" w:type="dxa"/>
            </w:tcMar>
            <w:vAlign w:val="center"/>
          </w:tcPr>
          <w:p w:rsidR="00DE3C3E" w:rsidRPr="00FC68C3" w:rsidRDefault="00DE3C3E" w:rsidP="00C747F6">
            <w:pPr>
              <w:rPr>
                <w:i/>
                <w:iCs/>
                <w:sz w:val="22"/>
                <w:szCs w:val="22"/>
              </w:rPr>
            </w:pPr>
            <w:r w:rsidRPr="00FC68C3">
              <w:rPr>
                <w:sz w:val="22"/>
                <w:szCs w:val="22"/>
              </w:rPr>
              <w:t>Единовременно, в конце срока Договора</w:t>
            </w:r>
          </w:p>
        </w:tc>
      </w:tr>
      <w:tr w:rsidR="00DE3C3E" w:rsidRPr="00FC68C3" w:rsidTr="00E758E9">
        <w:tc>
          <w:tcPr>
            <w:tcW w:w="9356" w:type="dxa"/>
            <w:gridSpan w:val="5"/>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7. Процентная ставка</w:t>
            </w:r>
          </w:p>
        </w:tc>
      </w:tr>
      <w:tr w:rsidR="00DE3C3E" w:rsidRPr="00FC68C3" w:rsidTr="00E758E9">
        <w:trPr>
          <w:trHeight w:val="791"/>
        </w:trPr>
        <w:tc>
          <w:tcPr>
            <w:tcW w:w="6611" w:type="dxa"/>
            <w:gridSpan w:val="3"/>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Фиксированная</w:t>
            </w:r>
          </w:p>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при утверждении кредитных сделок, по которым не планируется устанавливать абсолютные величины процентных ставок</w:t>
            </w:r>
          </w:p>
        </w:tc>
        <w:tc>
          <w:tcPr>
            <w:tcW w:w="2745" w:type="dxa"/>
            <w:gridSpan w:val="2"/>
            <w:tcMar>
              <w:top w:w="57" w:type="dxa"/>
              <w:left w:w="85" w:type="dxa"/>
              <w:bottom w:w="57" w:type="dxa"/>
              <w:right w:w="85" w:type="dxa"/>
            </w:tcMar>
          </w:tcPr>
          <w:p w:rsidR="00DE3C3E" w:rsidRPr="00FC68C3" w:rsidRDefault="00DE3C3E" w:rsidP="00C747F6">
            <w:pPr>
              <w:tabs>
                <w:tab w:val="num" w:pos="145"/>
              </w:tabs>
              <w:rPr>
                <w:sz w:val="22"/>
                <w:szCs w:val="22"/>
              </w:rPr>
            </w:pPr>
            <w:r w:rsidRPr="00FC68C3">
              <w:rPr>
                <w:sz w:val="22"/>
                <w:szCs w:val="22"/>
              </w:rPr>
              <w:t>размер Максимальной процентной ставки – 30% годовых</w:t>
            </w:r>
          </w:p>
        </w:tc>
      </w:tr>
      <w:tr w:rsidR="00DE3C3E" w:rsidRPr="00FC68C3" w:rsidTr="00E758E9">
        <w:tc>
          <w:tcPr>
            <w:tcW w:w="2500" w:type="dxa"/>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Порядок уплаты</w:t>
            </w:r>
          </w:p>
        </w:tc>
        <w:tc>
          <w:tcPr>
            <w:tcW w:w="6856" w:type="dxa"/>
            <w:gridSpan w:val="4"/>
            <w:tcMar>
              <w:top w:w="57" w:type="dxa"/>
              <w:left w:w="85" w:type="dxa"/>
              <w:bottom w:w="57" w:type="dxa"/>
              <w:right w:w="85" w:type="dxa"/>
            </w:tcMar>
          </w:tcPr>
          <w:p w:rsidR="00DE3C3E" w:rsidRPr="00FC68C3" w:rsidRDefault="00DE3C3E" w:rsidP="00C747F6">
            <w:pPr>
              <w:pStyle w:val="a7"/>
              <w:spacing w:before="0" w:after="0"/>
              <w:rPr>
                <w:rFonts w:ascii="Times New Roman" w:hAnsi="Times New Roman"/>
                <w:i/>
                <w:iCs/>
                <w:sz w:val="22"/>
                <w:szCs w:val="22"/>
                <w:lang w:val="ru-RU"/>
              </w:rPr>
            </w:pPr>
            <w:r w:rsidRPr="00FC68C3">
              <w:rPr>
                <w:rFonts w:ascii="Times New Roman" w:hAnsi="Times New Roman"/>
                <w:sz w:val="22"/>
                <w:szCs w:val="22"/>
                <w:lang w:val="ru-RU"/>
              </w:rPr>
              <w:t>Ежемесячно «28» числа и в дату полного погашения кредита</w:t>
            </w:r>
          </w:p>
        </w:tc>
      </w:tr>
      <w:tr w:rsidR="00DE3C3E" w:rsidRPr="00FC68C3" w:rsidTr="00E758E9">
        <w:tc>
          <w:tcPr>
            <w:tcW w:w="2500" w:type="dxa"/>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8. Неустойки</w:t>
            </w:r>
          </w:p>
        </w:tc>
        <w:tc>
          <w:tcPr>
            <w:tcW w:w="6856" w:type="dxa"/>
            <w:gridSpan w:val="4"/>
            <w:tcMar>
              <w:top w:w="57" w:type="dxa"/>
              <w:left w:w="85" w:type="dxa"/>
              <w:bottom w:w="57" w:type="dxa"/>
              <w:right w:w="85" w:type="dxa"/>
            </w:tcMar>
          </w:tcPr>
          <w:p w:rsidR="00DE3C3E" w:rsidRPr="00FC68C3" w:rsidRDefault="00DE3C3E" w:rsidP="00C747F6">
            <w:pPr>
              <w:pStyle w:val="a"/>
              <w:numPr>
                <w:ilvl w:val="0"/>
                <w:numId w:val="0"/>
              </w:numPr>
              <w:jc w:val="left"/>
              <w:rPr>
                <w:rFonts w:ascii="Times New Roman" w:hAnsi="Times New Roman" w:cs="Times New Roman"/>
                <w:b/>
                <w:bCs/>
                <w:sz w:val="22"/>
                <w:szCs w:val="22"/>
              </w:rPr>
            </w:pPr>
            <w:r w:rsidRPr="00FC68C3">
              <w:rPr>
                <w:rFonts w:ascii="Times New Roman" w:hAnsi="Times New Roman" w:cs="Times New Roman"/>
                <w:b/>
                <w:bCs/>
                <w:sz w:val="22"/>
                <w:szCs w:val="22"/>
              </w:rPr>
              <w:t>Размер</w:t>
            </w:r>
          </w:p>
        </w:tc>
      </w:tr>
      <w:tr w:rsidR="00DE3C3E" w:rsidRPr="00FC68C3" w:rsidTr="00E758E9">
        <w:tc>
          <w:tcPr>
            <w:tcW w:w="7178" w:type="dxa"/>
            <w:gridSpan w:val="4"/>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sz w:val="22"/>
                <w:szCs w:val="22"/>
                <w:lang w:val="ru-RU"/>
              </w:rPr>
            </w:pPr>
            <w:r w:rsidRPr="00FC68C3">
              <w:rPr>
                <w:rFonts w:ascii="Times New Roman" w:hAnsi="Times New Roman"/>
                <w:b/>
                <w:sz w:val="22"/>
                <w:szCs w:val="22"/>
                <w:lang w:val="ru-RU"/>
              </w:rPr>
              <w:t>8.1.</w:t>
            </w:r>
            <w:r w:rsidRPr="00FC68C3">
              <w:rPr>
                <w:rFonts w:ascii="Times New Roman" w:hAnsi="Times New Roman"/>
                <w:b/>
                <w:sz w:val="22"/>
                <w:szCs w:val="22"/>
              </w:rPr>
              <w:t> </w:t>
            </w:r>
            <w:r w:rsidRPr="00FC68C3">
              <w:rPr>
                <w:rFonts w:ascii="Times New Roman" w:hAnsi="Times New Roman"/>
                <w:b/>
                <w:sz w:val="22"/>
                <w:szCs w:val="22"/>
                <w:lang w:val="ru-RU"/>
              </w:rPr>
              <w:t>За несвоевременное перечисление платежа в погашение кредита</w:t>
            </w:r>
          </w:p>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b/>
                <w:sz w:val="22"/>
                <w:szCs w:val="22"/>
                <w:lang w:val="ru-RU"/>
              </w:rPr>
              <w:t>и/или уплату процентов и/или комиссионных платежей</w:t>
            </w:r>
          </w:p>
        </w:tc>
        <w:tc>
          <w:tcPr>
            <w:tcW w:w="2178" w:type="dxa"/>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Ключевая ставка Банка России, увеличенная в 2 раза</w:t>
            </w:r>
          </w:p>
        </w:tc>
      </w:tr>
      <w:tr w:rsidR="00DE3C3E" w:rsidRPr="00FC68C3" w:rsidTr="00E758E9">
        <w:tc>
          <w:tcPr>
            <w:tcW w:w="2500" w:type="dxa"/>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sz w:val="22"/>
                <w:szCs w:val="22"/>
              </w:rPr>
            </w:pPr>
            <w:r w:rsidRPr="00FC68C3">
              <w:rPr>
                <w:rFonts w:ascii="Times New Roman" w:hAnsi="Times New Roman"/>
                <w:b/>
                <w:sz w:val="22"/>
                <w:szCs w:val="22"/>
              </w:rPr>
              <w:t>8.2. Иные неустойки</w:t>
            </w:r>
          </w:p>
        </w:tc>
        <w:tc>
          <w:tcPr>
            <w:tcW w:w="6856" w:type="dxa"/>
            <w:gridSpan w:val="4"/>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sz w:val="22"/>
                <w:szCs w:val="22"/>
                <w:lang w:val="ru-RU"/>
              </w:rPr>
            </w:pPr>
            <w:r w:rsidRPr="00FC68C3">
              <w:rPr>
                <w:rFonts w:ascii="Times New Roman" w:hAnsi="Times New Roman"/>
                <w:sz w:val="22"/>
                <w:szCs w:val="22"/>
                <w:lang w:val="ru-RU"/>
              </w:rPr>
              <w:t>Не более 500</w:t>
            </w:r>
            <w:r w:rsidRPr="00FC68C3">
              <w:rPr>
                <w:rFonts w:ascii="Times New Roman" w:hAnsi="Times New Roman"/>
                <w:sz w:val="22"/>
                <w:szCs w:val="22"/>
              </w:rPr>
              <w:t> </w:t>
            </w:r>
            <w:r w:rsidRPr="00FC68C3">
              <w:rPr>
                <w:rFonts w:ascii="Times New Roman" w:hAnsi="Times New Roman"/>
                <w:sz w:val="22"/>
                <w:szCs w:val="22"/>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DE3C3E" w:rsidRPr="00FC68C3" w:rsidTr="00E758E9">
        <w:trPr>
          <w:trHeight w:val="1764"/>
        </w:trPr>
        <w:tc>
          <w:tcPr>
            <w:tcW w:w="2500" w:type="dxa"/>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lastRenderedPageBreak/>
              <w:t>9. Прочие условия</w:t>
            </w:r>
          </w:p>
        </w:tc>
        <w:tc>
          <w:tcPr>
            <w:tcW w:w="6856" w:type="dxa"/>
            <w:gridSpan w:val="4"/>
            <w:tcMar>
              <w:top w:w="57" w:type="dxa"/>
              <w:left w:w="85" w:type="dxa"/>
              <w:bottom w:w="57" w:type="dxa"/>
              <w:right w:w="85" w:type="dxa"/>
            </w:tcMar>
          </w:tcPr>
          <w:p w:rsidR="00DE3C3E" w:rsidRPr="00FC68C3" w:rsidRDefault="00DE3C3E" w:rsidP="00C747F6">
            <w:pPr>
              <w:ind w:firstLine="284"/>
              <w:jc w:val="both"/>
              <w:rPr>
                <w:sz w:val="22"/>
                <w:szCs w:val="22"/>
              </w:rPr>
            </w:pPr>
            <w:r w:rsidRPr="00FC68C3">
              <w:rPr>
                <w:sz w:val="22"/>
                <w:szCs w:val="22"/>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DE3C3E" w:rsidRPr="00FC68C3" w:rsidRDefault="00DE3C3E" w:rsidP="00DE3C3E">
            <w:pPr>
              <w:numPr>
                <w:ilvl w:val="0"/>
                <w:numId w:val="6"/>
              </w:numPr>
              <w:jc w:val="both"/>
              <w:rPr>
                <w:sz w:val="22"/>
                <w:szCs w:val="22"/>
              </w:rPr>
            </w:pPr>
            <w:r w:rsidRPr="00FC68C3">
              <w:rPr>
                <w:sz w:val="22"/>
                <w:szCs w:val="22"/>
              </w:rPr>
              <w:t>Net Debt / Ebitda по Группе компаний HMS Group менее 3,0;</w:t>
            </w:r>
          </w:p>
          <w:p w:rsidR="00DE3C3E" w:rsidRPr="00FC68C3" w:rsidRDefault="00DE3C3E" w:rsidP="00DE3C3E">
            <w:pPr>
              <w:numPr>
                <w:ilvl w:val="0"/>
                <w:numId w:val="6"/>
              </w:numPr>
              <w:jc w:val="both"/>
              <w:rPr>
                <w:sz w:val="22"/>
                <w:szCs w:val="22"/>
              </w:rPr>
            </w:pPr>
            <w:r w:rsidRPr="00FC68C3">
              <w:rPr>
                <w:sz w:val="22"/>
                <w:szCs w:val="22"/>
              </w:rPr>
              <w:t>FСash/Total Debt по Группе компаний HMS Group более 1,5</w:t>
            </w:r>
          </w:p>
          <w:p w:rsidR="00DE3C3E" w:rsidRPr="00FC68C3" w:rsidRDefault="00DE3C3E" w:rsidP="00C747F6">
            <w:pPr>
              <w:pStyle w:val="ae"/>
              <w:ind w:left="602"/>
              <w:jc w:val="both"/>
              <w:rPr>
                <w:iCs/>
                <w:sz w:val="22"/>
                <w:szCs w:val="22"/>
              </w:rPr>
            </w:pPr>
            <w:r w:rsidRPr="00FC68C3">
              <w:rPr>
                <w:sz w:val="22"/>
                <w:szCs w:val="22"/>
              </w:rPr>
              <w:t>срок действия Договора автоматически продляется до 60 месяцев.</w:t>
            </w:r>
          </w:p>
        </w:tc>
      </w:tr>
      <w:tr w:rsidR="00DE3C3E" w:rsidRPr="00FC68C3" w:rsidTr="00E758E9">
        <w:trPr>
          <w:trHeight w:val="358"/>
        </w:trPr>
        <w:tc>
          <w:tcPr>
            <w:tcW w:w="2500" w:type="dxa"/>
            <w:tcMar>
              <w:top w:w="57" w:type="dxa"/>
              <w:left w:w="85" w:type="dxa"/>
              <w:bottom w:w="57" w:type="dxa"/>
              <w:right w:w="85" w:type="dxa"/>
            </w:tcMar>
          </w:tcPr>
          <w:p w:rsidR="00DE3C3E" w:rsidRPr="00FC68C3" w:rsidRDefault="00DE3C3E"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10. Срок действия договора поручительства</w:t>
            </w:r>
          </w:p>
        </w:tc>
        <w:tc>
          <w:tcPr>
            <w:tcW w:w="6856" w:type="dxa"/>
            <w:gridSpan w:val="4"/>
            <w:tcMar>
              <w:top w:w="57" w:type="dxa"/>
              <w:left w:w="85" w:type="dxa"/>
              <w:bottom w:w="57" w:type="dxa"/>
              <w:right w:w="85" w:type="dxa"/>
            </w:tcMar>
          </w:tcPr>
          <w:p w:rsidR="00DE3C3E" w:rsidRPr="00FC68C3" w:rsidRDefault="00DE3C3E" w:rsidP="00C747F6">
            <w:pPr>
              <w:ind w:firstLine="284"/>
              <w:jc w:val="both"/>
              <w:rPr>
                <w:sz w:val="22"/>
                <w:szCs w:val="22"/>
              </w:rPr>
            </w:pPr>
            <w:r w:rsidRPr="00FC68C3">
              <w:rPr>
                <w:sz w:val="22"/>
                <w:szCs w:val="22"/>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FC68C3">
              <w:rPr>
                <w:sz w:val="22"/>
                <w:szCs w:val="22"/>
                <w:lang w:eastAsia="x-none"/>
              </w:rPr>
              <w:t xml:space="preserve">ВРКЛДС </w:t>
            </w:r>
            <w:r w:rsidRPr="00FC68C3">
              <w:rPr>
                <w:sz w:val="22"/>
                <w:szCs w:val="22"/>
                <w:lang w:val="x-none" w:eastAsia="x-none"/>
              </w:rPr>
              <w:t>плюс 3 года включительно.</w:t>
            </w:r>
          </w:p>
        </w:tc>
      </w:tr>
    </w:tbl>
    <w:p w:rsidR="00DE3C3E" w:rsidRPr="00FC68C3" w:rsidRDefault="00DE3C3E" w:rsidP="002F5AFC">
      <w:pPr>
        <w:ind w:right="-5"/>
        <w:jc w:val="both"/>
        <w:rPr>
          <w:i/>
          <w:sz w:val="22"/>
          <w:szCs w:val="22"/>
        </w:rPr>
      </w:pPr>
      <w:r w:rsidRPr="00FC68C3">
        <w:rPr>
          <w:i/>
          <w:sz w:val="22"/>
          <w:szCs w:val="22"/>
        </w:rPr>
        <w:t xml:space="preserve">Согласно п.6 ст.83 Федерального закона </w:t>
      </w:r>
      <w:r w:rsidRPr="00FC68C3">
        <w:rPr>
          <w:i/>
          <w:iCs/>
          <w:sz w:val="22"/>
          <w:szCs w:val="22"/>
        </w:rPr>
        <w:t>от 26.12.1995 N 208-ФЗ «Об акционерных обществах» указываются сведения о з</w:t>
      </w:r>
      <w:r w:rsidRPr="00FC68C3">
        <w:rPr>
          <w:i/>
          <w:sz w:val="22"/>
          <w:szCs w:val="22"/>
        </w:rPr>
        <w:t>аинтересованных в совершении сделки лицах и основаниях заинтересованности таких лиц:</w:t>
      </w:r>
    </w:p>
    <w:p w:rsidR="00DE3C3E" w:rsidRPr="00FC68C3" w:rsidRDefault="00DE3C3E" w:rsidP="00DE3C3E">
      <w:pPr>
        <w:autoSpaceDE w:val="0"/>
        <w:autoSpaceDN w:val="0"/>
        <w:adjustRightInd w:val="0"/>
        <w:jc w:val="both"/>
        <w:rPr>
          <w:rFonts w:eastAsia="Calibri"/>
          <w:i/>
          <w:sz w:val="22"/>
          <w:szCs w:val="22"/>
        </w:rPr>
      </w:pPr>
      <w:r w:rsidRPr="00FC68C3">
        <w:rPr>
          <w:rFonts w:eastAsia="Calibri"/>
          <w:i/>
          <w:sz w:val="22"/>
          <w:szCs w:val="22"/>
        </w:rPr>
        <w:t>1</w:t>
      </w:r>
      <w:r w:rsidRPr="00FC68C3">
        <w:rPr>
          <w:i/>
          <w:sz w:val="22"/>
          <w:szCs w:val="22"/>
        </w:rPr>
        <w:t>. косвенно контролирующее лицо Общества - АО «Группа ГМС» (является контролирующим лицом АО «ГМС Ливгидромаш» - Стороны по сделке);</w:t>
      </w:r>
    </w:p>
    <w:p w:rsidR="00DE3C3E" w:rsidRPr="00FC68C3" w:rsidRDefault="00DE3C3E" w:rsidP="00DE3C3E">
      <w:pPr>
        <w:autoSpaceDE w:val="0"/>
        <w:autoSpaceDN w:val="0"/>
        <w:adjustRightInd w:val="0"/>
        <w:jc w:val="both"/>
        <w:rPr>
          <w:rFonts w:eastAsia="Calibri"/>
          <w:i/>
          <w:sz w:val="22"/>
          <w:szCs w:val="22"/>
        </w:rPr>
      </w:pPr>
      <w:r w:rsidRPr="00FC68C3">
        <w:rPr>
          <w:i/>
          <w:sz w:val="22"/>
          <w:szCs w:val="22"/>
        </w:rPr>
        <w:t xml:space="preserve">2. косвенно контролирующее лицо Общества - </w:t>
      </w:r>
      <w:r w:rsidRPr="00FC68C3">
        <w:rPr>
          <w:bCs/>
          <w:i/>
          <w:sz w:val="22"/>
          <w:szCs w:val="22"/>
        </w:rPr>
        <w:t>HMS HYDRAULIC MACHINES &amp; SYSTEMS GROUP PLC</w:t>
      </w:r>
      <w:r w:rsidRPr="00FC68C3">
        <w:rPr>
          <w:i/>
          <w:sz w:val="22"/>
          <w:szCs w:val="22"/>
        </w:rPr>
        <w:t xml:space="preserve"> (является косвенно контролирующим лицом АО «ГМС Ливгидромаш» - Стороны по сделке);</w:t>
      </w:r>
    </w:p>
    <w:p w:rsidR="00DE3C3E" w:rsidRPr="00FC68C3" w:rsidRDefault="00DE3C3E" w:rsidP="00DE3C3E">
      <w:pPr>
        <w:autoSpaceDE w:val="0"/>
        <w:autoSpaceDN w:val="0"/>
        <w:adjustRightInd w:val="0"/>
        <w:jc w:val="both"/>
        <w:rPr>
          <w:i/>
          <w:sz w:val="22"/>
          <w:szCs w:val="22"/>
        </w:rPr>
      </w:pPr>
      <w:r w:rsidRPr="00FC68C3">
        <w:rPr>
          <w:i/>
          <w:iCs/>
          <w:sz w:val="22"/>
          <w:szCs w:val="22"/>
        </w:rPr>
        <w:t xml:space="preserve">3. </w:t>
      </w:r>
      <w:r w:rsidRPr="00FC68C3">
        <w:rPr>
          <w:i/>
          <w:sz w:val="22"/>
          <w:szCs w:val="22"/>
        </w:rPr>
        <w:t>член совета директоров Общества Скрынник Юрий Николаевич (является членом совета директоров АО «ГМС Ливгидромаш» - Стороны по сделке);</w:t>
      </w:r>
    </w:p>
    <w:p w:rsidR="00DE3C3E" w:rsidRPr="00FC68C3" w:rsidRDefault="00DE3C3E" w:rsidP="00DE3C3E">
      <w:pPr>
        <w:autoSpaceDE w:val="0"/>
        <w:autoSpaceDN w:val="0"/>
        <w:adjustRightInd w:val="0"/>
        <w:jc w:val="both"/>
        <w:rPr>
          <w:i/>
          <w:sz w:val="22"/>
          <w:szCs w:val="22"/>
        </w:rPr>
      </w:pPr>
      <w:r w:rsidRPr="00FC68C3">
        <w:rPr>
          <w:i/>
          <w:sz w:val="22"/>
          <w:szCs w:val="22"/>
        </w:rPr>
        <w:t xml:space="preserve">4. управляющая организация Общества - </w:t>
      </w:r>
      <w:r w:rsidRPr="00FC68C3">
        <w:rPr>
          <w:rFonts w:eastAsia="Calibri"/>
          <w:i/>
          <w:sz w:val="22"/>
          <w:szCs w:val="22"/>
        </w:rPr>
        <w:t xml:space="preserve">ООО «УК «Группа ГМС» (является также </w:t>
      </w:r>
      <w:r w:rsidRPr="00FC68C3">
        <w:rPr>
          <w:i/>
          <w:sz w:val="22"/>
          <w:szCs w:val="22"/>
        </w:rPr>
        <w:t>управляющей организацией АО «ГМС Ливгидромаш» - Стороны по сделке).</w:t>
      </w:r>
    </w:p>
    <w:p w:rsidR="009A48E0" w:rsidRPr="00900183" w:rsidRDefault="009A48E0" w:rsidP="009A48E0">
      <w:pPr>
        <w:jc w:val="both"/>
        <w:rPr>
          <w:sz w:val="22"/>
          <w:szCs w:val="22"/>
        </w:rPr>
      </w:pPr>
      <w:r w:rsidRPr="00900183">
        <w:rPr>
          <w:sz w:val="22"/>
          <w:szCs w:val="22"/>
          <w:u w:val="single"/>
        </w:rPr>
        <w:t>Цена сделки:</w:t>
      </w:r>
      <w:r w:rsidRPr="00900183">
        <w:rPr>
          <w:sz w:val="22"/>
          <w:szCs w:val="22"/>
        </w:rPr>
        <w:t xml:space="preserve"> (с учетом суммы ранее принятых непогашенных денежных обязательств Поручителя перед Банком) определена в размере</w:t>
      </w:r>
      <w:r w:rsidRPr="00900183">
        <w:rPr>
          <w:b/>
          <w:sz w:val="22"/>
          <w:szCs w:val="22"/>
        </w:rPr>
        <w:t xml:space="preserve"> </w:t>
      </w:r>
      <w:r w:rsidRPr="00900183">
        <w:rPr>
          <w:sz w:val="22"/>
          <w:szCs w:val="22"/>
        </w:rPr>
        <w:t>8 </w:t>
      </w:r>
      <w:r>
        <w:rPr>
          <w:sz w:val="22"/>
          <w:szCs w:val="22"/>
        </w:rPr>
        <w:t>1</w:t>
      </w:r>
      <w:r w:rsidRPr="00900183">
        <w:rPr>
          <w:sz w:val="22"/>
          <w:szCs w:val="22"/>
        </w:rPr>
        <w:t xml:space="preserve">80 000 000 </w:t>
      </w:r>
      <w:r>
        <w:rPr>
          <w:sz w:val="22"/>
          <w:szCs w:val="22"/>
        </w:rPr>
        <w:t>(Восемь миллиардов сто</w:t>
      </w:r>
      <w:r w:rsidRPr="00900183">
        <w:rPr>
          <w:sz w:val="22"/>
          <w:szCs w:val="22"/>
        </w:rPr>
        <w:t xml:space="preserve"> восемьдесят миллионов) рублей, что с</w:t>
      </w:r>
      <w:r>
        <w:rPr>
          <w:sz w:val="22"/>
          <w:szCs w:val="22"/>
        </w:rPr>
        <w:t>оставляет 207,332</w:t>
      </w:r>
      <w:r w:rsidRPr="00900183">
        <w:rPr>
          <w:sz w:val="22"/>
          <w:szCs w:val="22"/>
        </w:rPr>
        <w:t xml:space="preserve"> % от стоимости активов Поручителя по состоянию на 30.06.2017г.</w:t>
      </w:r>
    </w:p>
    <w:p w:rsidR="00EC16FC" w:rsidRDefault="00EC16FC" w:rsidP="00EC16FC">
      <w:pPr>
        <w:shd w:val="clear" w:color="auto" w:fill="FFFFFF"/>
      </w:pPr>
    </w:p>
    <w:p w:rsidR="00024FD8" w:rsidRPr="00024FD8" w:rsidRDefault="00EC16FC" w:rsidP="00024FD8">
      <w:pPr>
        <w:jc w:val="both"/>
        <w:rPr>
          <w:b/>
          <w:caps/>
        </w:rPr>
      </w:pPr>
      <w:r>
        <w:rPr>
          <w:b/>
          <w:caps/>
        </w:rPr>
        <w:t>По вопросу №5</w:t>
      </w:r>
      <w:r w:rsidRPr="00EC653A">
        <w:rPr>
          <w:b/>
          <w:caps/>
        </w:rPr>
        <w:t xml:space="preserve">: </w:t>
      </w:r>
      <w:r w:rsidR="00024FD8" w:rsidRPr="00FC68C3">
        <w:rPr>
          <w:sz w:val="22"/>
          <w:szCs w:val="22"/>
        </w:rPr>
        <w:t xml:space="preserve">О принятии решения о согласии на совершение крупной сделки – заключении </w:t>
      </w:r>
      <w:r w:rsidR="00024FD8" w:rsidRPr="00FC68C3">
        <w:rPr>
          <w:iCs/>
          <w:sz w:val="22"/>
          <w:szCs w:val="22"/>
        </w:rPr>
        <w:t>Возобновляемой рамочной кредитной линии с дифференцированными ставками между АО «Сибнефтемаш» и ПАО Сбербанк.</w:t>
      </w:r>
      <w:r w:rsidR="00024FD8" w:rsidRPr="00FC68C3">
        <w:rPr>
          <w:sz w:val="22"/>
          <w:szCs w:val="22"/>
        </w:rPr>
        <w:t xml:space="preserve"> </w:t>
      </w:r>
    </w:p>
    <w:p w:rsidR="00922AC0" w:rsidRPr="005D3318" w:rsidRDefault="00922AC0" w:rsidP="00922AC0">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3832"/>
        <w:gridCol w:w="3260"/>
      </w:tblGrid>
      <w:tr w:rsidR="00024FD8" w:rsidTr="00024FD8">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24FD8" w:rsidRDefault="00024FD8" w:rsidP="00C747F6">
            <w:pPr>
              <w:overflowPunct w:val="0"/>
              <w:autoSpaceDE w:val="0"/>
              <w:autoSpaceDN w:val="0"/>
              <w:adjustRightInd w:val="0"/>
              <w:jc w:val="center"/>
              <w:rPr>
                <w:b/>
                <w:sz w:val="22"/>
                <w:szCs w:val="22"/>
              </w:rPr>
            </w:pPr>
          </w:p>
        </w:tc>
        <w:tc>
          <w:tcPr>
            <w:tcW w:w="709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24FD8" w:rsidRDefault="00024FD8" w:rsidP="00C747F6">
            <w:pPr>
              <w:overflowPunct w:val="0"/>
              <w:autoSpaceDE w:val="0"/>
              <w:autoSpaceDN w:val="0"/>
              <w:adjustRightInd w:val="0"/>
              <w:jc w:val="center"/>
              <w:rPr>
                <w:sz w:val="22"/>
                <w:szCs w:val="22"/>
              </w:rPr>
            </w:pPr>
            <w:r>
              <w:rPr>
                <w:sz w:val="22"/>
                <w:szCs w:val="22"/>
              </w:rPr>
              <w:t>Крупная сделка</w:t>
            </w:r>
          </w:p>
        </w:tc>
      </w:tr>
      <w:tr w:rsidR="00024FD8" w:rsidTr="00024FD8">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24FD8" w:rsidRDefault="00024FD8" w:rsidP="00C747F6">
            <w:pPr>
              <w:overflowPunct w:val="0"/>
              <w:autoSpaceDE w:val="0"/>
              <w:autoSpaceDN w:val="0"/>
              <w:adjustRightInd w:val="0"/>
              <w:jc w:val="center"/>
              <w:rPr>
                <w:b/>
                <w:sz w:val="22"/>
                <w:szCs w:val="22"/>
              </w:rPr>
            </w:pPr>
            <w:r>
              <w:rPr>
                <w:b/>
                <w:sz w:val="22"/>
                <w:szCs w:val="22"/>
              </w:rPr>
              <w:t xml:space="preserve">Варианты голосования </w:t>
            </w:r>
          </w:p>
        </w:tc>
        <w:tc>
          <w:tcPr>
            <w:tcW w:w="3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24FD8" w:rsidRDefault="00024FD8" w:rsidP="00C747F6">
            <w:pPr>
              <w:overflowPunct w:val="0"/>
              <w:autoSpaceDE w:val="0"/>
              <w:autoSpaceDN w:val="0"/>
              <w:adjustRightInd w:val="0"/>
              <w:jc w:val="center"/>
              <w:rPr>
                <w:b/>
                <w:sz w:val="22"/>
                <w:szCs w:val="22"/>
              </w:rPr>
            </w:pPr>
            <w:r>
              <w:rPr>
                <w:b/>
                <w:sz w:val="22"/>
                <w:szCs w:val="22"/>
              </w:rPr>
              <w:t>Голосов</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24FD8" w:rsidRDefault="00024FD8" w:rsidP="00C747F6">
            <w:pPr>
              <w:overflowPunct w:val="0"/>
              <w:autoSpaceDE w:val="0"/>
              <w:autoSpaceDN w:val="0"/>
              <w:adjustRightInd w:val="0"/>
              <w:jc w:val="center"/>
              <w:rPr>
                <w:b/>
                <w:sz w:val="22"/>
                <w:szCs w:val="22"/>
              </w:rPr>
            </w:pPr>
            <w:r>
              <w:rPr>
                <w:b/>
                <w:sz w:val="22"/>
                <w:szCs w:val="22"/>
              </w:rPr>
              <w:t>%</w:t>
            </w:r>
          </w:p>
        </w:tc>
      </w:tr>
      <w:tr w:rsidR="00024FD8" w:rsidTr="00024FD8">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keepNext/>
              <w:overflowPunct w:val="0"/>
              <w:autoSpaceDE w:val="0"/>
              <w:autoSpaceDN w:val="0"/>
              <w:adjustRightInd w:val="0"/>
              <w:outlineLvl w:val="2"/>
              <w:rPr>
                <w:sz w:val="22"/>
                <w:szCs w:val="22"/>
              </w:rPr>
            </w:pPr>
            <w:r>
              <w:rPr>
                <w:sz w:val="22"/>
                <w:szCs w:val="22"/>
              </w:rPr>
              <w:t>«ЗА»</w:t>
            </w:r>
          </w:p>
        </w:tc>
        <w:tc>
          <w:tcPr>
            <w:tcW w:w="3832" w:type="dxa"/>
            <w:tcBorders>
              <w:top w:val="single" w:sz="6" w:space="0" w:color="000000"/>
              <w:left w:val="single" w:sz="6" w:space="0" w:color="000000"/>
              <w:bottom w:val="single" w:sz="6" w:space="0" w:color="000000"/>
              <w:right w:val="single" w:sz="6" w:space="0" w:color="000000"/>
            </w:tcBorders>
            <w:vAlign w:val="center"/>
            <w:hideMark/>
          </w:tcPr>
          <w:p w:rsidR="00024FD8" w:rsidRPr="00310CE2" w:rsidRDefault="00024FD8" w:rsidP="00C747F6">
            <w:pPr>
              <w:keepNext/>
              <w:spacing w:before="40" w:after="40"/>
              <w:jc w:val="right"/>
              <w:rPr>
                <w:sz w:val="22"/>
                <w:szCs w:val="22"/>
              </w:rPr>
            </w:pPr>
            <w:r w:rsidRPr="00310CE2">
              <w:rPr>
                <w:sz w:val="22"/>
                <w:szCs w:val="22"/>
              </w:rPr>
              <w:t>1 774 348</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overflowPunct w:val="0"/>
              <w:autoSpaceDE w:val="0"/>
              <w:autoSpaceDN w:val="0"/>
              <w:adjustRightInd w:val="0"/>
              <w:jc w:val="right"/>
              <w:rPr>
                <w:bCs/>
                <w:sz w:val="22"/>
                <w:szCs w:val="22"/>
              </w:rPr>
            </w:pPr>
            <w:r>
              <w:rPr>
                <w:bCs/>
                <w:sz w:val="22"/>
                <w:szCs w:val="22"/>
              </w:rPr>
              <w:t>100</w:t>
            </w:r>
          </w:p>
        </w:tc>
      </w:tr>
      <w:tr w:rsidR="00024FD8" w:rsidTr="00024FD8">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keepNext/>
              <w:overflowPunct w:val="0"/>
              <w:autoSpaceDE w:val="0"/>
              <w:autoSpaceDN w:val="0"/>
              <w:adjustRightInd w:val="0"/>
              <w:outlineLvl w:val="2"/>
              <w:rPr>
                <w:sz w:val="22"/>
                <w:szCs w:val="22"/>
              </w:rPr>
            </w:pPr>
            <w:r>
              <w:rPr>
                <w:sz w:val="22"/>
                <w:szCs w:val="22"/>
              </w:rPr>
              <w:t>«ПРОТИВ»</w:t>
            </w:r>
          </w:p>
        </w:tc>
        <w:tc>
          <w:tcPr>
            <w:tcW w:w="3832"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overflowPunct w:val="0"/>
              <w:autoSpaceDE w:val="0"/>
              <w:autoSpaceDN w:val="0"/>
              <w:adjustRightInd w:val="0"/>
              <w:jc w:val="right"/>
              <w:rPr>
                <w:sz w:val="22"/>
                <w:szCs w:val="22"/>
              </w:rPr>
            </w:pPr>
            <w:r>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overflowPunct w:val="0"/>
              <w:autoSpaceDE w:val="0"/>
              <w:autoSpaceDN w:val="0"/>
              <w:adjustRightInd w:val="0"/>
              <w:jc w:val="right"/>
              <w:rPr>
                <w:sz w:val="22"/>
                <w:szCs w:val="22"/>
              </w:rPr>
            </w:pPr>
            <w:r>
              <w:rPr>
                <w:sz w:val="22"/>
                <w:szCs w:val="22"/>
              </w:rPr>
              <w:t>0</w:t>
            </w:r>
          </w:p>
        </w:tc>
      </w:tr>
      <w:tr w:rsidR="00024FD8" w:rsidTr="00024FD8">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keepNext/>
              <w:overflowPunct w:val="0"/>
              <w:autoSpaceDE w:val="0"/>
              <w:autoSpaceDN w:val="0"/>
              <w:adjustRightInd w:val="0"/>
              <w:outlineLvl w:val="2"/>
              <w:rPr>
                <w:sz w:val="22"/>
                <w:szCs w:val="22"/>
              </w:rPr>
            </w:pPr>
            <w:r>
              <w:rPr>
                <w:sz w:val="22"/>
                <w:szCs w:val="22"/>
              </w:rPr>
              <w:t>«ВОЗДЕРЖАЛСЯ»</w:t>
            </w:r>
          </w:p>
        </w:tc>
        <w:tc>
          <w:tcPr>
            <w:tcW w:w="3832"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overflowPunct w:val="0"/>
              <w:autoSpaceDE w:val="0"/>
              <w:autoSpaceDN w:val="0"/>
              <w:adjustRightInd w:val="0"/>
              <w:jc w:val="right"/>
              <w:rPr>
                <w:sz w:val="22"/>
                <w:szCs w:val="22"/>
              </w:rPr>
            </w:pPr>
            <w:r>
              <w:rPr>
                <w:sz w:val="22"/>
                <w:szCs w:val="22"/>
              </w:rPr>
              <w:t>0</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024FD8" w:rsidRDefault="00024FD8" w:rsidP="00C747F6">
            <w:pPr>
              <w:overflowPunct w:val="0"/>
              <w:autoSpaceDE w:val="0"/>
              <w:autoSpaceDN w:val="0"/>
              <w:adjustRightInd w:val="0"/>
              <w:jc w:val="right"/>
              <w:rPr>
                <w:sz w:val="22"/>
                <w:szCs w:val="22"/>
              </w:rPr>
            </w:pPr>
            <w:r>
              <w:rPr>
                <w:sz w:val="22"/>
                <w:szCs w:val="22"/>
              </w:rPr>
              <w:t>0</w:t>
            </w:r>
          </w:p>
        </w:tc>
      </w:tr>
    </w:tbl>
    <w:p w:rsidR="00922AC0" w:rsidRDefault="00922AC0" w:rsidP="00922AC0">
      <w:pPr>
        <w:tabs>
          <w:tab w:val="left" w:pos="9000"/>
        </w:tabs>
        <w:rPr>
          <w:b/>
          <w:bCs/>
          <w:sz w:val="20"/>
          <w:szCs w:val="20"/>
        </w:rPr>
      </w:pPr>
    </w:p>
    <w:p w:rsidR="00922AC0" w:rsidRPr="001812D3" w:rsidRDefault="00922AC0" w:rsidP="00922AC0">
      <w:pPr>
        <w:tabs>
          <w:tab w:val="left" w:pos="9000"/>
        </w:tabs>
        <w:rPr>
          <w:b/>
          <w:bCs/>
        </w:rPr>
      </w:pPr>
      <w:r w:rsidRPr="001812D3">
        <w:rPr>
          <w:b/>
          <w:bCs/>
        </w:rPr>
        <w:t>Кворум для принятия решения по данному вопросу имеется.</w:t>
      </w:r>
    </w:p>
    <w:p w:rsidR="00922AC0" w:rsidRDefault="00922AC0" w:rsidP="00922AC0">
      <w:pPr>
        <w:tabs>
          <w:tab w:val="left" w:pos="2660"/>
          <w:tab w:val="left" w:pos="10704"/>
        </w:tabs>
        <w:spacing w:before="120"/>
        <w:jc w:val="both"/>
      </w:pPr>
      <w:r w:rsidRPr="001812D3">
        <w:rPr>
          <w:b/>
        </w:rPr>
        <w:t>Принято решение</w:t>
      </w:r>
      <w:r w:rsidRPr="001812D3">
        <w:t xml:space="preserve">: </w:t>
      </w:r>
    </w:p>
    <w:p w:rsidR="000C46F0" w:rsidRPr="00FC68C3" w:rsidRDefault="000C46F0" w:rsidP="000C46F0">
      <w:pPr>
        <w:pStyle w:val="21"/>
        <w:ind w:left="0"/>
        <w:jc w:val="both"/>
        <w:rPr>
          <w:iCs/>
          <w:sz w:val="22"/>
          <w:szCs w:val="22"/>
        </w:rPr>
      </w:pPr>
      <w:r w:rsidRPr="00FC68C3">
        <w:rPr>
          <w:sz w:val="22"/>
          <w:szCs w:val="22"/>
        </w:rPr>
        <w:t xml:space="preserve">Принять решение о согласии на совершение крупной сделки </w:t>
      </w:r>
      <w:r w:rsidRPr="00FC68C3">
        <w:rPr>
          <w:sz w:val="22"/>
          <w:szCs w:val="22"/>
          <w:lang w:eastAsia="en-US"/>
        </w:rPr>
        <w:t>– заключение Возобновляемой рамочной кредитной линии с дифференцированными ставками между  АО «Сибнефтемаш» и ПАО Сбербанк на следующих условиях: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67"/>
        <w:gridCol w:w="3828"/>
        <w:gridCol w:w="2603"/>
      </w:tblGrid>
      <w:tr w:rsidR="000C46F0" w:rsidRPr="00FC68C3" w:rsidTr="00355E15">
        <w:tc>
          <w:tcPr>
            <w:tcW w:w="2925"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1.</w:t>
            </w:r>
            <w:r w:rsidRPr="00FC68C3">
              <w:rPr>
                <w:rFonts w:ascii="Times New Roman" w:hAnsi="Times New Roman"/>
                <w:b/>
                <w:bCs/>
                <w:sz w:val="22"/>
                <w:szCs w:val="22"/>
              </w:rPr>
              <w:t> </w:t>
            </w:r>
            <w:r w:rsidRPr="00FC68C3">
              <w:rPr>
                <w:rFonts w:ascii="Times New Roman" w:hAnsi="Times New Roman"/>
                <w:b/>
                <w:bCs/>
                <w:sz w:val="22"/>
                <w:szCs w:val="22"/>
                <w:lang w:val="ru-RU"/>
              </w:rPr>
              <w:t>Вид сделки</w:t>
            </w:r>
          </w:p>
        </w:tc>
        <w:tc>
          <w:tcPr>
            <w:tcW w:w="6431" w:type="dxa"/>
            <w:gridSpan w:val="2"/>
            <w:tcMar>
              <w:top w:w="57" w:type="dxa"/>
              <w:left w:w="85" w:type="dxa"/>
              <w:bottom w:w="57" w:type="dxa"/>
              <w:right w:w="85" w:type="dxa"/>
            </w:tcMar>
          </w:tcPr>
          <w:p w:rsidR="000C46F0" w:rsidRPr="00FC68C3" w:rsidRDefault="000C46F0" w:rsidP="00C747F6">
            <w:pPr>
              <w:pStyle w:val="a7"/>
              <w:spacing w:before="0" w:after="0"/>
              <w:rPr>
                <w:rFonts w:ascii="Times New Roman" w:hAnsi="Times New Roman"/>
                <w:b/>
                <w:bCs/>
                <w:iCs/>
                <w:sz w:val="22"/>
                <w:szCs w:val="22"/>
                <w:lang w:val="ru-RU"/>
              </w:rPr>
            </w:pPr>
            <w:r w:rsidRPr="00FC68C3">
              <w:rPr>
                <w:rFonts w:ascii="Times New Roman" w:hAnsi="Times New Roman"/>
                <w:iCs/>
                <w:sz w:val="22"/>
                <w:szCs w:val="22"/>
                <w:lang w:val="ru-RU"/>
              </w:rPr>
              <w:t>Возобновляемая рамочная кредитная линия с дифференцированными ставками (ВРКЛДС)</w:t>
            </w:r>
          </w:p>
        </w:tc>
      </w:tr>
      <w:tr w:rsidR="000C46F0" w:rsidRPr="00FC68C3" w:rsidTr="00355E15">
        <w:tc>
          <w:tcPr>
            <w:tcW w:w="2925"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2.</w:t>
            </w:r>
            <w:r w:rsidRPr="00FC68C3">
              <w:rPr>
                <w:rFonts w:ascii="Times New Roman" w:hAnsi="Times New Roman"/>
                <w:b/>
                <w:bCs/>
                <w:sz w:val="22"/>
                <w:szCs w:val="22"/>
              </w:rPr>
              <w:t> </w:t>
            </w:r>
            <w:r w:rsidRPr="00FC68C3">
              <w:rPr>
                <w:rFonts w:ascii="Times New Roman" w:hAnsi="Times New Roman"/>
                <w:b/>
                <w:bCs/>
                <w:sz w:val="22"/>
                <w:szCs w:val="22"/>
                <w:lang w:val="ru-RU"/>
              </w:rPr>
              <w:t>Заемщик</w:t>
            </w:r>
          </w:p>
        </w:tc>
        <w:tc>
          <w:tcPr>
            <w:tcW w:w="6431"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iCs/>
                <w:sz w:val="22"/>
                <w:szCs w:val="22"/>
              </w:rPr>
            </w:pPr>
            <w:r w:rsidRPr="00FC68C3">
              <w:rPr>
                <w:rFonts w:ascii="Times New Roman" w:hAnsi="Times New Roman"/>
                <w:iCs/>
                <w:sz w:val="22"/>
                <w:szCs w:val="22"/>
                <w:lang w:val="ru-RU"/>
              </w:rPr>
              <w:t xml:space="preserve">АО </w:t>
            </w:r>
            <w:r w:rsidR="00B24DFD">
              <w:rPr>
                <w:rFonts w:ascii="Times New Roman" w:hAnsi="Times New Roman"/>
                <w:iCs/>
                <w:sz w:val="22"/>
                <w:szCs w:val="22"/>
                <w:lang w:val="ru-RU"/>
              </w:rPr>
              <w:t>«</w:t>
            </w:r>
            <w:r w:rsidRPr="00FC68C3">
              <w:rPr>
                <w:rFonts w:ascii="Times New Roman" w:hAnsi="Times New Roman"/>
                <w:iCs/>
                <w:sz w:val="22"/>
                <w:szCs w:val="22"/>
                <w:lang w:val="ru-RU"/>
              </w:rPr>
              <w:t>Сибнефтемаш»</w:t>
            </w:r>
          </w:p>
        </w:tc>
      </w:tr>
      <w:tr w:rsidR="000C46F0" w:rsidRPr="00FC68C3" w:rsidTr="00355E15">
        <w:tc>
          <w:tcPr>
            <w:tcW w:w="2925"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3. Сумма финансирования</w:t>
            </w:r>
          </w:p>
        </w:tc>
        <w:tc>
          <w:tcPr>
            <w:tcW w:w="6431"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 xml:space="preserve">Не более </w:t>
            </w:r>
            <w:r w:rsidRPr="00FC68C3">
              <w:rPr>
                <w:rFonts w:ascii="Times New Roman" w:hAnsi="Times New Roman"/>
                <w:iCs/>
                <w:sz w:val="22"/>
                <w:szCs w:val="22"/>
                <w:lang w:val="ru-RU"/>
              </w:rPr>
              <w:t>5</w:t>
            </w:r>
            <w:r w:rsidRPr="00FC68C3">
              <w:rPr>
                <w:rFonts w:ascii="Times New Roman" w:hAnsi="Times New Roman"/>
                <w:iCs/>
                <w:sz w:val="22"/>
                <w:szCs w:val="22"/>
              </w:rPr>
              <w:t>00</w:t>
            </w:r>
            <w:r w:rsidRPr="00FC68C3">
              <w:rPr>
                <w:rFonts w:ascii="Times New Roman" w:hAnsi="Times New Roman"/>
                <w:iCs/>
                <w:sz w:val="22"/>
                <w:szCs w:val="22"/>
                <w:lang w:val="ru-RU"/>
              </w:rPr>
              <w:t xml:space="preserve"> 000</w:t>
            </w:r>
            <w:r w:rsidRPr="00FC68C3">
              <w:rPr>
                <w:rFonts w:ascii="Times New Roman" w:hAnsi="Times New Roman"/>
                <w:iCs/>
                <w:sz w:val="22"/>
                <w:szCs w:val="22"/>
              </w:rPr>
              <w:t> 000,00 рублей</w:t>
            </w:r>
          </w:p>
        </w:tc>
      </w:tr>
      <w:tr w:rsidR="000C46F0" w:rsidRPr="00FC68C3" w:rsidTr="00355E15">
        <w:tc>
          <w:tcPr>
            <w:tcW w:w="2925"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4.</w:t>
            </w:r>
            <w:r w:rsidRPr="00FC68C3">
              <w:rPr>
                <w:rFonts w:ascii="Times New Roman" w:hAnsi="Times New Roman"/>
                <w:b/>
                <w:bCs/>
                <w:sz w:val="22"/>
                <w:szCs w:val="22"/>
              </w:rPr>
              <w:t> </w:t>
            </w:r>
            <w:r w:rsidRPr="00FC68C3">
              <w:rPr>
                <w:rFonts w:ascii="Times New Roman" w:hAnsi="Times New Roman"/>
                <w:b/>
                <w:bCs/>
                <w:sz w:val="22"/>
                <w:szCs w:val="22"/>
                <w:lang w:val="ru-RU"/>
              </w:rPr>
              <w:t>Цель финансирования (целевое назначение кредита)</w:t>
            </w:r>
          </w:p>
        </w:tc>
        <w:tc>
          <w:tcPr>
            <w:tcW w:w="6431" w:type="dxa"/>
            <w:gridSpan w:val="2"/>
            <w:tcMar>
              <w:top w:w="57" w:type="dxa"/>
              <w:left w:w="85" w:type="dxa"/>
              <w:bottom w:w="57" w:type="dxa"/>
              <w:right w:w="85" w:type="dxa"/>
            </w:tcMar>
          </w:tcPr>
          <w:p w:rsidR="000C46F0" w:rsidRPr="00FC68C3" w:rsidRDefault="000C46F0" w:rsidP="00C747F6">
            <w:pPr>
              <w:pStyle w:val="a7"/>
              <w:spacing w:before="0" w:after="0"/>
              <w:rPr>
                <w:rFonts w:ascii="Times New Roman" w:hAnsi="Times New Roman"/>
                <w:i/>
                <w:iCs/>
                <w:sz w:val="22"/>
                <w:szCs w:val="22"/>
                <w:lang w:val="ru-RU"/>
              </w:rPr>
            </w:pPr>
            <w:r w:rsidRPr="00FC68C3">
              <w:rPr>
                <w:rFonts w:ascii="Times New Roman" w:hAnsi="Times New Roman"/>
                <w:iCs/>
                <w:sz w:val="22"/>
                <w:szCs w:val="22"/>
                <w:lang w:val="ru-RU"/>
              </w:rPr>
              <w:t xml:space="preserve">Осуществление текущей деятельности, приобретение оборотных и внеоборотных активов, погашение текущей задолженности по кредитам и займам, предоставление займов компаниям, </w:t>
            </w:r>
            <w:r w:rsidRPr="00FC68C3">
              <w:rPr>
                <w:rFonts w:ascii="Times New Roman" w:hAnsi="Times New Roman"/>
                <w:sz w:val="22"/>
                <w:szCs w:val="22"/>
                <w:lang w:val="ru-RU"/>
              </w:rPr>
              <w:t xml:space="preserve">входящим </w:t>
            </w:r>
            <w:r w:rsidRPr="00FC68C3">
              <w:rPr>
                <w:rFonts w:ascii="Times New Roman" w:hAnsi="Times New Roman"/>
                <w:sz w:val="22"/>
                <w:szCs w:val="22"/>
                <w:lang w:val="ru-RU"/>
              </w:rPr>
              <w:lastRenderedPageBreak/>
              <w:t xml:space="preserve">в состав Группы компаний </w:t>
            </w:r>
            <w:r w:rsidRPr="00FC68C3">
              <w:rPr>
                <w:rFonts w:ascii="Times New Roman" w:hAnsi="Times New Roman"/>
                <w:sz w:val="22"/>
                <w:szCs w:val="22"/>
              </w:rPr>
              <w:t>HMS</w:t>
            </w:r>
            <w:r w:rsidRPr="00FC68C3">
              <w:rPr>
                <w:rFonts w:ascii="Times New Roman" w:hAnsi="Times New Roman"/>
                <w:sz w:val="22"/>
                <w:szCs w:val="22"/>
                <w:lang w:val="ru-RU"/>
              </w:rPr>
              <w:t xml:space="preserve"> </w:t>
            </w:r>
            <w:r w:rsidRPr="00FC68C3">
              <w:rPr>
                <w:rFonts w:ascii="Times New Roman" w:hAnsi="Times New Roman"/>
                <w:sz w:val="22"/>
                <w:szCs w:val="22"/>
              </w:rPr>
              <w:t>Group</w:t>
            </w:r>
            <w:r w:rsidRPr="00FC68C3">
              <w:rPr>
                <w:rFonts w:ascii="Times New Roman" w:hAnsi="Times New Roman"/>
                <w:iCs/>
                <w:sz w:val="22"/>
                <w:szCs w:val="22"/>
                <w:lang w:val="ru-RU"/>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C68C3">
              <w:rPr>
                <w:rFonts w:ascii="Times New Roman" w:hAnsi="Times New Roman"/>
                <w:iCs/>
                <w:sz w:val="22"/>
                <w:szCs w:val="22"/>
              </w:rPr>
              <w:t>HMS</w:t>
            </w:r>
            <w:r w:rsidRPr="00FC68C3">
              <w:rPr>
                <w:rFonts w:ascii="Times New Roman" w:hAnsi="Times New Roman"/>
                <w:iCs/>
                <w:sz w:val="22"/>
                <w:szCs w:val="22"/>
                <w:lang w:val="ru-RU"/>
              </w:rPr>
              <w:t xml:space="preserve"> </w:t>
            </w:r>
            <w:r w:rsidRPr="00FC68C3">
              <w:rPr>
                <w:rFonts w:ascii="Times New Roman" w:hAnsi="Times New Roman"/>
                <w:iCs/>
                <w:sz w:val="22"/>
                <w:szCs w:val="22"/>
              </w:rPr>
              <w:t>Group</w:t>
            </w:r>
          </w:p>
        </w:tc>
      </w:tr>
      <w:tr w:rsidR="000C46F0" w:rsidRPr="00FC68C3" w:rsidTr="00355E15">
        <w:tc>
          <w:tcPr>
            <w:tcW w:w="2925"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lastRenderedPageBreak/>
              <w:t>5. Срок финансирования</w:t>
            </w:r>
          </w:p>
        </w:tc>
        <w:tc>
          <w:tcPr>
            <w:tcW w:w="6431"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sz w:val="22"/>
                <w:szCs w:val="22"/>
              </w:rPr>
            </w:pPr>
            <w:r w:rsidRPr="00FC68C3">
              <w:rPr>
                <w:rFonts w:ascii="Times New Roman" w:hAnsi="Times New Roman"/>
                <w:iCs/>
                <w:sz w:val="22"/>
                <w:szCs w:val="22"/>
              </w:rPr>
              <w:t>Не более 60 месяцев</w:t>
            </w:r>
          </w:p>
        </w:tc>
      </w:tr>
      <w:tr w:rsidR="000C46F0" w:rsidRPr="00FC68C3" w:rsidTr="00355E15">
        <w:trPr>
          <w:trHeight w:val="28"/>
        </w:trPr>
        <w:tc>
          <w:tcPr>
            <w:tcW w:w="2925" w:type="dxa"/>
            <w:gridSpan w:val="2"/>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6. Погашение основного долга</w:t>
            </w:r>
          </w:p>
        </w:tc>
        <w:tc>
          <w:tcPr>
            <w:tcW w:w="6431" w:type="dxa"/>
            <w:gridSpan w:val="2"/>
            <w:tcMar>
              <w:top w:w="57" w:type="dxa"/>
              <w:left w:w="85" w:type="dxa"/>
              <w:bottom w:w="57" w:type="dxa"/>
              <w:right w:w="85" w:type="dxa"/>
            </w:tcMar>
            <w:vAlign w:val="center"/>
          </w:tcPr>
          <w:p w:rsidR="000C46F0" w:rsidRPr="00FC68C3" w:rsidRDefault="000C46F0" w:rsidP="00C747F6">
            <w:pPr>
              <w:rPr>
                <w:i/>
                <w:iCs/>
                <w:sz w:val="22"/>
                <w:szCs w:val="22"/>
              </w:rPr>
            </w:pPr>
            <w:r w:rsidRPr="00FC68C3">
              <w:rPr>
                <w:sz w:val="22"/>
                <w:szCs w:val="22"/>
              </w:rPr>
              <w:t>Единовременно, в конце срока Договора</w:t>
            </w:r>
          </w:p>
        </w:tc>
      </w:tr>
      <w:tr w:rsidR="000C46F0" w:rsidRPr="00FC68C3" w:rsidTr="00355E15">
        <w:tc>
          <w:tcPr>
            <w:tcW w:w="9356" w:type="dxa"/>
            <w:gridSpan w:val="4"/>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7. Процентная ставка</w:t>
            </w:r>
          </w:p>
        </w:tc>
      </w:tr>
      <w:tr w:rsidR="000C46F0" w:rsidRPr="00FC68C3" w:rsidTr="00355E15">
        <w:trPr>
          <w:trHeight w:val="807"/>
        </w:trPr>
        <w:tc>
          <w:tcPr>
            <w:tcW w:w="6753" w:type="dxa"/>
            <w:gridSpan w:val="3"/>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Фиксированная</w:t>
            </w:r>
          </w:p>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при утверждении кредитных сделок, по которым не планируется устанавливать абсолютные величины процентных ставок</w:t>
            </w:r>
          </w:p>
        </w:tc>
        <w:tc>
          <w:tcPr>
            <w:tcW w:w="2603" w:type="dxa"/>
            <w:tcMar>
              <w:top w:w="57" w:type="dxa"/>
              <w:left w:w="85" w:type="dxa"/>
              <w:bottom w:w="57" w:type="dxa"/>
              <w:right w:w="85" w:type="dxa"/>
            </w:tcMar>
          </w:tcPr>
          <w:p w:rsidR="000C46F0" w:rsidRPr="00FC68C3" w:rsidRDefault="000C46F0" w:rsidP="00C747F6">
            <w:pPr>
              <w:tabs>
                <w:tab w:val="num" w:pos="145"/>
              </w:tabs>
              <w:rPr>
                <w:sz w:val="22"/>
                <w:szCs w:val="22"/>
              </w:rPr>
            </w:pPr>
            <w:r w:rsidRPr="00FC68C3">
              <w:rPr>
                <w:sz w:val="22"/>
                <w:szCs w:val="22"/>
              </w:rPr>
              <w:t>размер Максимальной процентной ставки – 30% годовых</w:t>
            </w:r>
          </w:p>
        </w:tc>
      </w:tr>
      <w:tr w:rsidR="000C46F0" w:rsidRPr="00FC68C3" w:rsidTr="00355E15">
        <w:tc>
          <w:tcPr>
            <w:tcW w:w="2358" w:type="dxa"/>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Порядок уплаты</w:t>
            </w:r>
          </w:p>
        </w:tc>
        <w:tc>
          <w:tcPr>
            <w:tcW w:w="6998" w:type="dxa"/>
            <w:gridSpan w:val="3"/>
            <w:tcMar>
              <w:top w:w="57" w:type="dxa"/>
              <w:left w:w="85" w:type="dxa"/>
              <w:bottom w:w="57" w:type="dxa"/>
              <w:right w:w="85" w:type="dxa"/>
            </w:tcMar>
          </w:tcPr>
          <w:p w:rsidR="000C46F0" w:rsidRPr="00FC68C3" w:rsidRDefault="000C46F0" w:rsidP="00C747F6">
            <w:pPr>
              <w:pStyle w:val="a7"/>
              <w:spacing w:before="0" w:after="0"/>
              <w:rPr>
                <w:rFonts w:ascii="Times New Roman" w:hAnsi="Times New Roman"/>
                <w:i/>
                <w:iCs/>
                <w:sz w:val="22"/>
                <w:szCs w:val="22"/>
                <w:lang w:val="ru-RU"/>
              </w:rPr>
            </w:pPr>
            <w:r w:rsidRPr="00FC68C3">
              <w:rPr>
                <w:rFonts w:ascii="Times New Roman" w:hAnsi="Times New Roman"/>
                <w:sz w:val="22"/>
                <w:szCs w:val="22"/>
                <w:lang w:val="ru-RU"/>
              </w:rPr>
              <w:t>Ежемесячно «28» числа и в дату полного погашения кредита</w:t>
            </w:r>
          </w:p>
        </w:tc>
      </w:tr>
      <w:tr w:rsidR="000C46F0" w:rsidRPr="00FC68C3" w:rsidTr="00355E15">
        <w:tc>
          <w:tcPr>
            <w:tcW w:w="6753" w:type="dxa"/>
            <w:gridSpan w:val="3"/>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8. Неустойки</w:t>
            </w:r>
          </w:p>
        </w:tc>
        <w:tc>
          <w:tcPr>
            <w:tcW w:w="2603" w:type="dxa"/>
            <w:tcMar>
              <w:top w:w="57" w:type="dxa"/>
              <w:left w:w="85" w:type="dxa"/>
              <w:bottom w:w="57" w:type="dxa"/>
              <w:right w:w="85" w:type="dxa"/>
            </w:tcMar>
          </w:tcPr>
          <w:p w:rsidR="000C46F0" w:rsidRPr="00FC68C3" w:rsidRDefault="000C46F0" w:rsidP="00C747F6">
            <w:pPr>
              <w:pStyle w:val="a"/>
              <w:numPr>
                <w:ilvl w:val="0"/>
                <w:numId w:val="0"/>
              </w:numPr>
              <w:jc w:val="left"/>
              <w:rPr>
                <w:rFonts w:ascii="Times New Roman" w:hAnsi="Times New Roman" w:cs="Times New Roman"/>
                <w:b/>
                <w:bCs/>
                <w:sz w:val="22"/>
                <w:szCs w:val="22"/>
              </w:rPr>
            </w:pPr>
            <w:r w:rsidRPr="00FC68C3">
              <w:rPr>
                <w:rFonts w:ascii="Times New Roman" w:hAnsi="Times New Roman" w:cs="Times New Roman"/>
                <w:b/>
                <w:bCs/>
                <w:sz w:val="22"/>
                <w:szCs w:val="22"/>
              </w:rPr>
              <w:t>Размер</w:t>
            </w:r>
          </w:p>
        </w:tc>
      </w:tr>
      <w:tr w:rsidR="000C46F0" w:rsidRPr="00FC68C3" w:rsidTr="00355E15">
        <w:tc>
          <w:tcPr>
            <w:tcW w:w="6753" w:type="dxa"/>
            <w:gridSpan w:val="3"/>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b/>
                <w:sz w:val="22"/>
                <w:szCs w:val="22"/>
                <w:lang w:val="ru-RU"/>
              </w:rPr>
              <w:t>8.1.</w:t>
            </w:r>
            <w:r w:rsidRPr="00FC68C3">
              <w:rPr>
                <w:rFonts w:ascii="Times New Roman" w:hAnsi="Times New Roman"/>
                <w:b/>
                <w:sz w:val="22"/>
                <w:szCs w:val="22"/>
              </w:rPr>
              <w:t> </w:t>
            </w:r>
            <w:r w:rsidRPr="00FC68C3">
              <w:rPr>
                <w:rFonts w:ascii="Times New Roman" w:hAnsi="Times New Roman"/>
                <w:b/>
                <w:sz w:val="22"/>
                <w:szCs w:val="22"/>
                <w:lang w:val="ru-RU"/>
              </w:rPr>
              <w:t>За несвоевременное перечисление платежа в погашение кредита и/или уплату процентов и/или комиссионных платежей</w:t>
            </w:r>
          </w:p>
        </w:tc>
        <w:tc>
          <w:tcPr>
            <w:tcW w:w="2603" w:type="dxa"/>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Ключевая ставка Банка России, увеличенная в 2 раза</w:t>
            </w:r>
          </w:p>
        </w:tc>
      </w:tr>
      <w:tr w:rsidR="000C46F0" w:rsidRPr="00FC68C3" w:rsidTr="00355E15">
        <w:tc>
          <w:tcPr>
            <w:tcW w:w="2358" w:type="dxa"/>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sz w:val="22"/>
                <w:szCs w:val="22"/>
              </w:rPr>
            </w:pPr>
            <w:r w:rsidRPr="00FC68C3">
              <w:rPr>
                <w:rFonts w:ascii="Times New Roman" w:hAnsi="Times New Roman"/>
                <w:b/>
                <w:sz w:val="22"/>
                <w:szCs w:val="22"/>
              </w:rPr>
              <w:t>8.2. Иные неустойки</w:t>
            </w:r>
          </w:p>
        </w:tc>
        <w:tc>
          <w:tcPr>
            <w:tcW w:w="6998" w:type="dxa"/>
            <w:gridSpan w:val="3"/>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sz w:val="22"/>
                <w:szCs w:val="22"/>
                <w:lang w:val="ru-RU"/>
              </w:rPr>
            </w:pPr>
            <w:r w:rsidRPr="00FC68C3">
              <w:rPr>
                <w:rFonts w:ascii="Times New Roman" w:hAnsi="Times New Roman"/>
                <w:sz w:val="22"/>
                <w:szCs w:val="22"/>
                <w:lang w:val="ru-RU"/>
              </w:rPr>
              <w:t>Не более 500</w:t>
            </w:r>
            <w:r w:rsidRPr="00FC68C3">
              <w:rPr>
                <w:rFonts w:ascii="Times New Roman" w:hAnsi="Times New Roman"/>
                <w:sz w:val="22"/>
                <w:szCs w:val="22"/>
              </w:rPr>
              <w:t> </w:t>
            </w:r>
            <w:r w:rsidRPr="00FC68C3">
              <w:rPr>
                <w:rFonts w:ascii="Times New Roman" w:hAnsi="Times New Roman"/>
                <w:sz w:val="22"/>
                <w:szCs w:val="22"/>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0C46F0" w:rsidRPr="00FC68C3" w:rsidTr="00355E15">
        <w:trPr>
          <w:trHeight w:val="1884"/>
        </w:trPr>
        <w:tc>
          <w:tcPr>
            <w:tcW w:w="2358" w:type="dxa"/>
            <w:tcMar>
              <w:top w:w="57" w:type="dxa"/>
              <w:left w:w="85" w:type="dxa"/>
              <w:bottom w:w="57" w:type="dxa"/>
              <w:right w:w="85" w:type="dxa"/>
            </w:tcMar>
          </w:tcPr>
          <w:p w:rsidR="000C46F0" w:rsidRPr="00FC68C3" w:rsidRDefault="000C46F0"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9. Прочие условия</w:t>
            </w:r>
          </w:p>
        </w:tc>
        <w:tc>
          <w:tcPr>
            <w:tcW w:w="6998" w:type="dxa"/>
            <w:gridSpan w:val="3"/>
            <w:tcMar>
              <w:top w:w="57" w:type="dxa"/>
              <w:left w:w="85" w:type="dxa"/>
              <w:bottom w:w="57" w:type="dxa"/>
              <w:right w:w="85" w:type="dxa"/>
            </w:tcMar>
          </w:tcPr>
          <w:p w:rsidR="000C46F0" w:rsidRPr="00FC68C3" w:rsidRDefault="000C46F0" w:rsidP="000E3545">
            <w:pPr>
              <w:jc w:val="both"/>
              <w:rPr>
                <w:sz w:val="22"/>
                <w:szCs w:val="22"/>
              </w:rPr>
            </w:pPr>
            <w:r w:rsidRPr="00FC68C3">
              <w:rPr>
                <w:sz w:val="22"/>
                <w:szCs w:val="22"/>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0C46F0" w:rsidRPr="00FC68C3" w:rsidRDefault="000C46F0" w:rsidP="000C46F0">
            <w:pPr>
              <w:numPr>
                <w:ilvl w:val="0"/>
                <w:numId w:val="6"/>
              </w:numPr>
              <w:jc w:val="both"/>
              <w:rPr>
                <w:sz w:val="22"/>
                <w:szCs w:val="22"/>
              </w:rPr>
            </w:pPr>
            <w:r w:rsidRPr="00FC68C3">
              <w:rPr>
                <w:sz w:val="22"/>
                <w:szCs w:val="22"/>
              </w:rPr>
              <w:t>Net Debt / Ebitda по Группе компаний HMS Group менее 3,0;</w:t>
            </w:r>
          </w:p>
          <w:p w:rsidR="000C46F0" w:rsidRPr="00FC68C3" w:rsidRDefault="000C46F0" w:rsidP="000C46F0">
            <w:pPr>
              <w:numPr>
                <w:ilvl w:val="0"/>
                <w:numId w:val="6"/>
              </w:numPr>
              <w:jc w:val="both"/>
              <w:rPr>
                <w:sz w:val="22"/>
                <w:szCs w:val="22"/>
              </w:rPr>
            </w:pPr>
            <w:r w:rsidRPr="00FC68C3">
              <w:rPr>
                <w:sz w:val="22"/>
                <w:szCs w:val="22"/>
              </w:rPr>
              <w:t>FСash/Total Debt по Группе компаний HMS Group более 1,5</w:t>
            </w:r>
          </w:p>
          <w:p w:rsidR="000C46F0" w:rsidRPr="00FC68C3" w:rsidRDefault="000C46F0" w:rsidP="00C747F6">
            <w:pPr>
              <w:pStyle w:val="ae"/>
              <w:ind w:left="602"/>
              <w:jc w:val="both"/>
              <w:rPr>
                <w:iCs/>
                <w:sz w:val="22"/>
                <w:szCs w:val="22"/>
              </w:rPr>
            </w:pPr>
            <w:r w:rsidRPr="00FC68C3">
              <w:rPr>
                <w:sz w:val="22"/>
                <w:szCs w:val="22"/>
              </w:rPr>
              <w:t>срок действия Договора автоматически продляется до 60 месяцев.</w:t>
            </w:r>
          </w:p>
        </w:tc>
      </w:tr>
    </w:tbl>
    <w:p w:rsidR="005A574C" w:rsidRPr="00900183" w:rsidRDefault="005A574C" w:rsidP="005A574C">
      <w:pPr>
        <w:jc w:val="both"/>
        <w:rPr>
          <w:sz w:val="22"/>
          <w:szCs w:val="22"/>
        </w:rPr>
      </w:pPr>
      <w:r w:rsidRPr="00900183">
        <w:rPr>
          <w:sz w:val="22"/>
          <w:szCs w:val="22"/>
          <w:u w:val="single"/>
        </w:rPr>
        <w:t>Цена сделки:</w:t>
      </w:r>
      <w:r w:rsidRPr="00900183">
        <w:rPr>
          <w:sz w:val="22"/>
          <w:szCs w:val="22"/>
        </w:rPr>
        <w:t xml:space="preserve"> (с учетом суммы ранее принятых непогашенных денежных обязательств Поручителя перед Банком) определена в размере</w:t>
      </w:r>
      <w:r w:rsidRPr="00900183">
        <w:rPr>
          <w:b/>
          <w:sz w:val="22"/>
          <w:szCs w:val="22"/>
        </w:rPr>
        <w:t xml:space="preserve"> </w:t>
      </w:r>
      <w:r w:rsidRPr="00900183">
        <w:rPr>
          <w:sz w:val="22"/>
          <w:szCs w:val="22"/>
        </w:rPr>
        <w:t>8 </w:t>
      </w:r>
      <w:r>
        <w:rPr>
          <w:sz w:val="22"/>
          <w:szCs w:val="22"/>
        </w:rPr>
        <w:t>1</w:t>
      </w:r>
      <w:r w:rsidRPr="00900183">
        <w:rPr>
          <w:sz w:val="22"/>
          <w:szCs w:val="22"/>
        </w:rPr>
        <w:t xml:space="preserve">80 000 000 </w:t>
      </w:r>
      <w:r>
        <w:rPr>
          <w:sz w:val="22"/>
          <w:szCs w:val="22"/>
        </w:rPr>
        <w:t>(Восемь миллиардов сто</w:t>
      </w:r>
      <w:r w:rsidRPr="00900183">
        <w:rPr>
          <w:sz w:val="22"/>
          <w:szCs w:val="22"/>
        </w:rPr>
        <w:t xml:space="preserve"> восемьдесят миллионов) рублей, что с</w:t>
      </w:r>
      <w:r>
        <w:rPr>
          <w:sz w:val="22"/>
          <w:szCs w:val="22"/>
        </w:rPr>
        <w:t>оставляет 207,332</w:t>
      </w:r>
      <w:r w:rsidRPr="00900183">
        <w:rPr>
          <w:sz w:val="22"/>
          <w:szCs w:val="22"/>
        </w:rPr>
        <w:t xml:space="preserve"> % от стоимости активов Поручителя по состоянию на 30.06.2017г.</w:t>
      </w:r>
    </w:p>
    <w:p w:rsidR="005A574C" w:rsidRPr="00FC68C3" w:rsidRDefault="005A574C" w:rsidP="005A574C">
      <w:pPr>
        <w:ind w:firstLine="709"/>
        <w:rPr>
          <w:b/>
          <w:sz w:val="22"/>
          <w:szCs w:val="22"/>
          <w:lang w:eastAsia="x-none"/>
        </w:rPr>
      </w:pPr>
    </w:p>
    <w:p w:rsidR="0046512C" w:rsidRPr="0046512C" w:rsidRDefault="00922AC0" w:rsidP="0046512C">
      <w:pPr>
        <w:jc w:val="both"/>
        <w:rPr>
          <w:b/>
          <w:caps/>
        </w:rPr>
      </w:pPr>
      <w:r>
        <w:rPr>
          <w:b/>
          <w:caps/>
        </w:rPr>
        <w:t>По вопросу №6</w:t>
      </w:r>
      <w:r w:rsidRPr="00EC653A">
        <w:rPr>
          <w:b/>
          <w:caps/>
        </w:rPr>
        <w:t xml:space="preserve">: </w:t>
      </w:r>
      <w:r w:rsidR="0046512C" w:rsidRPr="00FC68C3">
        <w:rPr>
          <w:sz w:val="22"/>
          <w:szCs w:val="22"/>
        </w:rPr>
        <w:t xml:space="preserve">О принятии решения о согласии на совершение крупной сделки, в совершении которой имеется заинтересованность по заключению Договора поручительства к </w:t>
      </w:r>
      <w:r w:rsidR="0046512C" w:rsidRPr="00FC68C3">
        <w:rPr>
          <w:iCs/>
          <w:sz w:val="22"/>
          <w:szCs w:val="22"/>
        </w:rPr>
        <w:t>Возобновляемой рамочной кредитной линии с дифференцированными ставками между ОАО «Казанькомпрессормаш» и ПАО Сбербанк.</w:t>
      </w:r>
    </w:p>
    <w:p w:rsidR="00922AC0" w:rsidRPr="005D3318" w:rsidRDefault="00922AC0" w:rsidP="00922AC0">
      <w:pPr>
        <w:spacing w:before="120" w:after="120"/>
        <w:jc w:val="both"/>
        <w:rPr>
          <w:b/>
          <w:bCs/>
        </w:rPr>
      </w:pPr>
      <w:r w:rsidRPr="005D3318">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922AC0"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22AC0" w:rsidRDefault="00922AC0" w:rsidP="00C747F6">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sz w:val="22"/>
                <w:szCs w:val="22"/>
              </w:rPr>
            </w:pPr>
            <w:r>
              <w:rPr>
                <w:sz w:val="22"/>
                <w:szCs w:val="22"/>
              </w:rPr>
              <w:t>Сделка с заинтересованностью</w:t>
            </w:r>
          </w:p>
        </w:tc>
      </w:tr>
      <w:tr w:rsidR="00922AC0" w:rsidTr="00C747F6">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922AC0" w:rsidRDefault="00922AC0" w:rsidP="00C747F6">
            <w:pPr>
              <w:overflowPunct w:val="0"/>
              <w:autoSpaceDE w:val="0"/>
              <w:autoSpaceDN w:val="0"/>
              <w:adjustRightInd w:val="0"/>
              <w:jc w:val="center"/>
              <w:rPr>
                <w:b/>
                <w:sz w:val="22"/>
                <w:szCs w:val="22"/>
              </w:rPr>
            </w:pPr>
            <w:r>
              <w:rPr>
                <w:b/>
                <w:sz w:val="22"/>
                <w:szCs w:val="22"/>
              </w:rPr>
              <w:t>%</w:t>
            </w:r>
          </w:p>
        </w:tc>
      </w:tr>
      <w:tr w:rsidR="00922AC0"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922AC0" w:rsidRPr="00310CE2" w:rsidRDefault="00922AC0" w:rsidP="00C747F6">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922AC0" w:rsidRDefault="00922AC0" w:rsidP="00C747F6">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922AC0" w:rsidRDefault="00922AC0" w:rsidP="00C747F6">
            <w:pPr>
              <w:overflowPunct w:val="0"/>
              <w:autoSpaceDE w:val="0"/>
              <w:autoSpaceDN w:val="0"/>
              <w:adjustRightInd w:val="0"/>
              <w:jc w:val="right"/>
              <w:rPr>
                <w:bCs/>
                <w:sz w:val="22"/>
                <w:szCs w:val="22"/>
              </w:rPr>
            </w:pPr>
            <w:r>
              <w:rPr>
                <w:bCs/>
                <w:sz w:val="22"/>
                <w:szCs w:val="22"/>
              </w:rPr>
              <w:t>100</w:t>
            </w:r>
          </w:p>
        </w:tc>
      </w:tr>
      <w:tr w:rsidR="00922AC0"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922AC0" w:rsidRDefault="00922AC0"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922AC0" w:rsidRDefault="00922AC0" w:rsidP="00C747F6">
            <w:pPr>
              <w:overflowPunct w:val="0"/>
              <w:autoSpaceDE w:val="0"/>
              <w:autoSpaceDN w:val="0"/>
              <w:adjustRightInd w:val="0"/>
              <w:jc w:val="right"/>
              <w:rPr>
                <w:sz w:val="22"/>
                <w:szCs w:val="22"/>
              </w:rPr>
            </w:pPr>
            <w:r>
              <w:rPr>
                <w:sz w:val="22"/>
                <w:szCs w:val="22"/>
              </w:rPr>
              <w:t>0</w:t>
            </w:r>
          </w:p>
        </w:tc>
      </w:tr>
      <w:tr w:rsidR="00922AC0" w:rsidTr="00C747F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922AC0" w:rsidRDefault="00922AC0" w:rsidP="00C747F6">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922AC0" w:rsidRDefault="00922AC0" w:rsidP="00C747F6">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922AC0" w:rsidRDefault="00922AC0" w:rsidP="00C747F6">
            <w:pPr>
              <w:overflowPunct w:val="0"/>
              <w:autoSpaceDE w:val="0"/>
              <w:autoSpaceDN w:val="0"/>
              <w:adjustRightInd w:val="0"/>
              <w:jc w:val="right"/>
              <w:rPr>
                <w:sz w:val="22"/>
                <w:szCs w:val="22"/>
              </w:rPr>
            </w:pPr>
            <w:r>
              <w:rPr>
                <w:sz w:val="22"/>
                <w:szCs w:val="22"/>
              </w:rPr>
              <w:t>0</w:t>
            </w:r>
          </w:p>
        </w:tc>
      </w:tr>
    </w:tbl>
    <w:p w:rsidR="00922AC0" w:rsidRDefault="00922AC0" w:rsidP="00922AC0">
      <w:pPr>
        <w:tabs>
          <w:tab w:val="left" w:pos="9000"/>
        </w:tabs>
        <w:rPr>
          <w:b/>
          <w:bCs/>
          <w:sz w:val="20"/>
          <w:szCs w:val="20"/>
        </w:rPr>
      </w:pPr>
    </w:p>
    <w:p w:rsidR="00922AC0" w:rsidRPr="001812D3" w:rsidRDefault="00922AC0" w:rsidP="00922AC0">
      <w:pPr>
        <w:tabs>
          <w:tab w:val="left" w:pos="9000"/>
        </w:tabs>
        <w:rPr>
          <w:b/>
          <w:bCs/>
        </w:rPr>
      </w:pPr>
      <w:r w:rsidRPr="001812D3">
        <w:rPr>
          <w:b/>
          <w:bCs/>
        </w:rPr>
        <w:t>Кворум для принятия решения по данному вопросу имеется.</w:t>
      </w:r>
    </w:p>
    <w:p w:rsidR="00922AC0" w:rsidRDefault="00922AC0" w:rsidP="00922AC0">
      <w:pPr>
        <w:tabs>
          <w:tab w:val="left" w:pos="2660"/>
          <w:tab w:val="left" w:pos="10704"/>
        </w:tabs>
        <w:spacing w:before="120"/>
        <w:jc w:val="both"/>
      </w:pPr>
      <w:r w:rsidRPr="001812D3">
        <w:rPr>
          <w:b/>
        </w:rPr>
        <w:t>Принято решение</w:t>
      </w:r>
      <w:r w:rsidRPr="001812D3">
        <w:t xml:space="preserve">: </w:t>
      </w:r>
    </w:p>
    <w:p w:rsidR="002224CB" w:rsidRPr="00FC68C3" w:rsidRDefault="002224CB" w:rsidP="00C431E8">
      <w:pPr>
        <w:jc w:val="both"/>
        <w:rPr>
          <w:iCs/>
          <w:sz w:val="22"/>
          <w:szCs w:val="22"/>
        </w:rPr>
      </w:pPr>
      <w:r w:rsidRPr="00FC68C3">
        <w:rPr>
          <w:sz w:val="22"/>
          <w:szCs w:val="22"/>
        </w:rPr>
        <w:t xml:space="preserve">Принять решение о согласии на совершение крупной сделки, в совершении которой имеется заинтересованность по заключению Договора поручительства к Возобновляемой рамочной кредитной линии с дифференцированными ставками </w:t>
      </w:r>
      <w:r w:rsidRPr="00FC68C3">
        <w:rPr>
          <w:iCs/>
          <w:sz w:val="22"/>
          <w:szCs w:val="22"/>
        </w:rPr>
        <w:t>на следующих условиях:</w:t>
      </w:r>
    </w:p>
    <w:p w:rsidR="002224CB" w:rsidRPr="00C431E8" w:rsidRDefault="002224CB" w:rsidP="00C431E8">
      <w:pPr>
        <w:pStyle w:val="21"/>
        <w:ind w:left="0"/>
        <w:jc w:val="both"/>
        <w:rPr>
          <w:sz w:val="22"/>
          <w:szCs w:val="22"/>
        </w:rPr>
      </w:pPr>
      <w:r w:rsidRPr="00C431E8">
        <w:rPr>
          <w:sz w:val="22"/>
          <w:szCs w:val="22"/>
        </w:rPr>
        <w:t>Стороны сделки:</w:t>
      </w:r>
    </w:p>
    <w:p w:rsidR="002224CB" w:rsidRPr="00C431E8" w:rsidRDefault="002224CB" w:rsidP="00C431E8">
      <w:pPr>
        <w:pStyle w:val="ac"/>
        <w:spacing w:before="0" w:beforeAutospacing="0" w:after="0" w:afterAutospacing="0"/>
        <w:contextualSpacing/>
        <w:jc w:val="both"/>
        <w:rPr>
          <w:iCs/>
          <w:sz w:val="22"/>
          <w:szCs w:val="22"/>
        </w:rPr>
      </w:pPr>
      <w:r w:rsidRPr="00C431E8">
        <w:rPr>
          <w:bCs/>
          <w:sz w:val="22"/>
          <w:szCs w:val="22"/>
        </w:rPr>
        <w:lastRenderedPageBreak/>
        <w:t xml:space="preserve">Банк: </w:t>
      </w:r>
      <w:r w:rsidRPr="00C431E8">
        <w:rPr>
          <w:iCs/>
          <w:sz w:val="22"/>
          <w:szCs w:val="22"/>
        </w:rPr>
        <w:t>ПАО Сбербанк;</w:t>
      </w:r>
    </w:p>
    <w:p w:rsidR="002224CB" w:rsidRPr="00C431E8" w:rsidRDefault="00C431E8" w:rsidP="00C431E8">
      <w:pPr>
        <w:pStyle w:val="ac"/>
        <w:spacing w:before="0" w:beforeAutospacing="0" w:after="0" w:afterAutospacing="0"/>
        <w:contextualSpacing/>
        <w:jc w:val="both"/>
        <w:rPr>
          <w:iCs/>
          <w:sz w:val="22"/>
          <w:szCs w:val="22"/>
        </w:rPr>
      </w:pPr>
      <w:r w:rsidRPr="00C431E8">
        <w:rPr>
          <w:iCs/>
          <w:sz w:val="22"/>
          <w:szCs w:val="22"/>
        </w:rPr>
        <w:t xml:space="preserve">Заемщик: </w:t>
      </w:r>
      <w:r w:rsidR="002224CB" w:rsidRPr="00C431E8">
        <w:rPr>
          <w:iCs/>
          <w:sz w:val="22"/>
          <w:szCs w:val="22"/>
        </w:rPr>
        <w:t>ОАО «Казанькомпрессормаш»;</w:t>
      </w:r>
    </w:p>
    <w:p w:rsidR="002224CB" w:rsidRPr="00C431E8" w:rsidRDefault="002224CB" w:rsidP="00C431E8">
      <w:pPr>
        <w:pStyle w:val="ac"/>
        <w:spacing w:before="0" w:beforeAutospacing="0" w:after="0" w:afterAutospacing="0"/>
        <w:contextualSpacing/>
        <w:jc w:val="both"/>
        <w:rPr>
          <w:iCs/>
          <w:sz w:val="22"/>
          <w:szCs w:val="22"/>
        </w:rPr>
      </w:pPr>
      <w:r w:rsidRPr="00C431E8">
        <w:rPr>
          <w:iCs/>
          <w:sz w:val="22"/>
          <w:szCs w:val="22"/>
        </w:rPr>
        <w:t>Поручитель: АО «Сибнефтемаш».</w:t>
      </w:r>
    </w:p>
    <w:p w:rsidR="002224CB" w:rsidRPr="00C431E8" w:rsidRDefault="002224CB" w:rsidP="00C431E8">
      <w:pPr>
        <w:pStyle w:val="ac"/>
        <w:spacing w:before="0" w:beforeAutospacing="0" w:after="0" w:afterAutospacing="0"/>
        <w:contextualSpacing/>
        <w:jc w:val="both"/>
        <w:rPr>
          <w:bCs/>
          <w:sz w:val="22"/>
          <w:szCs w:val="22"/>
        </w:rPr>
      </w:pPr>
      <w:r w:rsidRPr="00C431E8">
        <w:rPr>
          <w:bCs/>
          <w:sz w:val="22"/>
          <w:szCs w:val="22"/>
        </w:rPr>
        <w:t>Существенные условия сделки: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2"/>
        <w:gridCol w:w="992"/>
        <w:gridCol w:w="2835"/>
        <w:gridCol w:w="426"/>
        <w:gridCol w:w="2603"/>
      </w:tblGrid>
      <w:tr w:rsidR="002224CB" w:rsidRPr="00FC68C3" w:rsidTr="002224CB">
        <w:tc>
          <w:tcPr>
            <w:tcW w:w="3492"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1.</w:t>
            </w:r>
            <w:r w:rsidRPr="00FC68C3">
              <w:rPr>
                <w:rFonts w:ascii="Times New Roman" w:hAnsi="Times New Roman"/>
                <w:b/>
                <w:bCs/>
                <w:sz w:val="22"/>
                <w:szCs w:val="22"/>
              </w:rPr>
              <w:t> </w:t>
            </w:r>
            <w:r w:rsidRPr="00FC68C3">
              <w:rPr>
                <w:rFonts w:ascii="Times New Roman" w:hAnsi="Times New Roman"/>
                <w:b/>
                <w:bCs/>
                <w:sz w:val="22"/>
                <w:szCs w:val="22"/>
                <w:lang w:val="ru-RU"/>
              </w:rPr>
              <w:t>Вид сделки</w:t>
            </w:r>
          </w:p>
        </w:tc>
        <w:tc>
          <w:tcPr>
            <w:tcW w:w="5864" w:type="dxa"/>
            <w:gridSpan w:val="3"/>
            <w:tcMar>
              <w:top w:w="57" w:type="dxa"/>
              <w:left w:w="85" w:type="dxa"/>
              <w:bottom w:w="57" w:type="dxa"/>
              <w:right w:w="85" w:type="dxa"/>
            </w:tcMar>
          </w:tcPr>
          <w:p w:rsidR="002224CB" w:rsidRPr="00FC68C3" w:rsidRDefault="002224CB" w:rsidP="00C747F6">
            <w:pPr>
              <w:pStyle w:val="a7"/>
              <w:spacing w:before="0" w:after="0"/>
              <w:rPr>
                <w:rFonts w:ascii="Times New Roman" w:hAnsi="Times New Roman"/>
                <w:b/>
                <w:bCs/>
                <w:iCs/>
                <w:sz w:val="22"/>
                <w:szCs w:val="22"/>
                <w:lang w:val="ru-RU"/>
              </w:rPr>
            </w:pPr>
            <w:r w:rsidRPr="00FC68C3">
              <w:rPr>
                <w:rFonts w:ascii="Times New Roman" w:hAnsi="Times New Roman"/>
                <w:iCs/>
                <w:sz w:val="22"/>
                <w:szCs w:val="22"/>
                <w:lang w:val="ru-RU"/>
              </w:rPr>
              <w:t>Возобновляемая рамочная кредитная линия с дифференцированными ставками (ВРКЛДС)</w:t>
            </w:r>
          </w:p>
        </w:tc>
      </w:tr>
      <w:tr w:rsidR="002224CB" w:rsidRPr="00FC68C3" w:rsidTr="002224CB">
        <w:tc>
          <w:tcPr>
            <w:tcW w:w="3492"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2.</w:t>
            </w:r>
            <w:r w:rsidRPr="00FC68C3">
              <w:rPr>
                <w:rFonts w:ascii="Times New Roman" w:hAnsi="Times New Roman"/>
                <w:b/>
                <w:bCs/>
                <w:sz w:val="22"/>
                <w:szCs w:val="22"/>
              </w:rPr>
              <w:t> </w:t>
            </w:r>
            <w:r w:rsidRPr="00FC68C3">
              <w:rPr>
                <w:rFonts w:ascii="Times New Roman" w:hAnsi="Times New Roman"/>
                <w:b/>
                <w:bCs/>
                <w:sz w:val="22"/>
                <w:szCs w:val="22"/>
                <w:lang w:val="ru-RU"/>
              </w:rPr>
              <w:t>Заемщик</w:t>
            </w:r>
          </w:p>
        </w:tc>
        <w:tc>
          <w:tcPr>
            <w:tcW w:w="5864"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iCs/>
                <w:sz w:val="22"/>
                <w:szCs w:val="22"/>
              </w:rPr>
            </w:pPr>
            <w:r w:rsidRPr="00FC68C3">
              <w:rPr>
                <w:rFonts w:ascii="Times New Roman" w:hAnsi="Times New Roman"/>
                <w:iCs/>
                <w:sz w:val="22"/>
                <w:szCs w:val="22"/>
                <w:lang w:val="ru-RU"/>
              </w:rPr>
              <w:t>ОАО «Казанькомпрессормаш»</w:t>
            </w:r>
          </w:p>
        </w:tc>
      </w:tr>
      <w:tr w:rsidR="002224CB" w:rsidRPr="00FC68C3" w:rsidTr="002224CB">
        <w:tc>
          <w:tcPr>
            <w:tcW w:w="3492"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3. Сумма финансирования</w:t>
            </w:r>
          </w:p>
        </w:tc>
        <w:tc>
          <w:tcPr>
            <w:tcW w:w="5864"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iCs/>
                <w:sz w:val="22"/>
                <w:szCs w:val="22"/>
              </w:rPr>
            </w:pPr>
            <w:r w:rsidRPr="00FC68C3">
              <w:rPr>
                <w:rFonts w:ascii="Times New Roman" w:hAnsi="Times New Roman"/>
                <w:iCs/>
                <w:sz w:val="22"/>
                <w:szCs w:val="22"/>
              </w:rPr>
              <w:t xml:space="preserve">Не более </w:t>
            </w:r>
            <w:r w:rsidRPr="00FC68C3">
              <w:rPr>
                <w:rFonts w:ascii="Times New Roman" w:hAnsi="Times New Roman"/>
                <w:iCs/>
                <w:sz w:val="22"/>
                <w:szCs w:val="22"/>
                <w:lang w:val="ru-RU"/>
              </w:rPr>
              <w:t>1 0</w:t>
            </w:r>
            <w:r w:rsidRPr="00FC68C3">
              <w:rPr>
                <w:rFonts w:ascii="Times New Roman" w:hAnsi="Times New Roman"/>
                <w:iCs/>
                <w:sz w:val="22"/>
                <w:szCs w:val="22"/>
              </w:rPr>
              <w:t>00</w:t>
            </w:r>
            <w:r w:rsidRPr="00FC68C3">
              <w:rPr>
                <w:rFonts w:ascii="Times New Roman" w:hAnsi="Times New Roman"/>
                <w:iCs/>
                <w:sz w:val="22"/>
                <w:szCs w:val="22"/>
                <w:lang w:val="ru-RU"/>
              </w:rPr>
              <w:t xml:space="preserve"> 000</w:t>
            </w:r>
            <w:r w:rsidRPr="00FC68C3">
              <w:rPr>
                <w:rFonts w:ascii="Times New Roman" w:hAnsi="Times New Roman"/>
                <w:iCs/>
                <w:sz w:val="22"/>
                <w:szCs w:val="22"/>
              </w:rPr>
              <w:t> 000,00</w:t>
            </w:r>
            <w:r w:rsidRPr="00FC68C3">
              <w:rPr>
                <w:rFonts w:ascii="Times New Roman" w:hAnsi="Times New Roman"/>
                <w:iCs/>
                <w:sz w:val="22"/>
                <w:szCs w:val="22"/>
                <w:lang w:val="ru-RU"/>
              </w:rPr>
              <w:t xml:space="preserve"> </w:t>
            </w:r>
            <w:r w:rsidRPr="00FC68C3">
              <w:rPr>
                <w:rFonts w:ascii="Times New Roman" w:hAnsi="Times New Roman"/>
                <w:iCs/>
                <w:sz w:val="22"/>
                <w:szCs w:val="22"/>
              </w:rPr>
              <w:t>рублей</w:t>
            </w:r>
          </w:p>
        </w:tc>
      </w:tr>
      <w:tr w:rsidR="002224CB" w:rsidRPr="00FC68C3" w:rsidTr="002224CB">
        <w:tc>
          <w:tcPr>
            <w:tcW w:w="3492"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4.</w:t>
            </w:r>
            <w:r w:rsidRPr="00FC68C3">
              <w:rPr>
                <w:rFonts w:ascii="Times New Roman" w:hAnsi="Times New Roman"/>
                <w:b/>
                <w:bCs/>
                <w:sz w:val="22"/>
                <w:szCs w:val="22"/>
              </w:rPr>
              <w:t> </w:t>
            </w:r>
            <w:r w:rsidRPr="00FC68C3">
              <w:rPr>
                <w:rFonts w:ascii="Times New Roman" w:hAnsi="Times New Roman"/>
                <w:b/>
                <w:bCs/>
                <w:sz w:val="22"/>
                <w:szCs w:val="22"/>
                <w:lang w:val="ru-RU"/>
              </w:rPr>
              <w:t>Цель финансирования (целевое назначение кредита)</w:t>
            </w:r>
          </w:p>
        </w:tc>
        <w:tc>
          <w:tcPr>
            <w:tcW w:w="5864" w:type="dxa"/>
            <w:gridSpan w:val="3"/>
            <w:tcMar>
              <w:top w:w="57" w:type="dxa"/>
              <w:left w:w="85" w:type="dxa"/>
              <w:bottom w:w="57" w:type="dxa"/>
              <w:right w:w="85" w:type="dxa"/>
            </w:tcMar>
          </w:tcPr>
          <w:p w:rsidR="002224CB" w:rsidRPr="00FC68C3" w:rsidRDefault="002224CB" w:rsidP="00C747F6">
            <w:pPr>
              <w:pStyle w:val="a7"/>
              <w:spacing w:before="0" w:after="0"/>
              <w:rPr>
                <w:rFonts w:ascii="Times New Roman" w:hAnsi="Times New Roman"/>
                <w:i/>
                <w:iCs/>
                <w:sz w:val="22"/>
                <w:szCs w:val="22"/>
                <w:lang w:val="ru-RU"/>
              </w:rPr>
            </w:pPr>
            <w:r w:rsidRPr="00FC68C3">
              <w:rPr>
                <w:rFonts w:ascii="Times New Roman" w:hAnsi="Times New Roman"/>
                <w:iCs/>
                <w:sz w:val="22"/>
                <w:szCs w:val="22"/>
                <w:lang w:val="ru-RU"/>
              </w:rPr>
              <w:t xml:space="preserve">Осуществление текущей деятельности, приобретение оборотных и внеоборотных активов, погашение текущей задолженности по кредитам и займам, предоставление займов компаниям, </w:t>
            </w:r>
            <w:r w:rsidRPr="00FC68C3">
              <w:rPr>
                <w:rFonts w:ascii="Times New Roman" w:hAnsi="Times New Roman"/>
                <w:sz w:val="22"/>
                <w:szCs w:val="22"/>
                <w:lang w:val="ru-RU"/>
              </w:rPr>
              <w:t xml:space="preserve">входящим в состав Группы компаний </w:t>
            </w:r>
            <w:r w:rsidRPr="00FC68C3">
              <w:rPr>
                <w:rFonts w:ascii="Times New Roman" w:hAnsi="Times New Roman"/>
                <w:sz w:val="22"/>
                <w:szCs w:val="22"/>
              </w:rPr>
              <w:t>HMS</w:t>
            </w:r>
            <w:r w:rsidRPr="00FC68C3">
              <w:rPr>
                <w:rFonts w:ascii="Times New Roman" w:hAnsi="Times New Roman"/>
                <w:sz w:val="22"/>
                <w:szCs w:val="22"/>
                <w:lang w:val="ru-RU"/>
              </w:rPr>
              <w:t xml:space="preserve"> </w:t>
            </w:r>
            <w:r w:rsidRPr="00FC68C3">
              <w:rPr>
                <w:rFonts w:ascii="Times New Roman" w:hAnsi="Times New Roman"/>
                <w:sz w:val="22"/>
                <w:szCs w:val="22"/>
              </w:rPr>
              <w:t>Group</w:t>
            </w:r>
            <w:r w:rsidRPr="00FC68C3">
              <w:rPr>
                <w:rFonts w:ascii="Times New Roman" w:hAnsi="Times New Roman"/>
                <w:iCs/>
                <w:sz w:val="22"/>
                <w:szCs w:val="22"/>
                <w:lang w:val="ru-RU"/>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w:t>
            </w:r>
            <w:r w:rsidRPr="00FC68C3">
              <w:rPr>
                <w:rFonts w:ascii="Times New Roman" w:hAnsi="Times New Roman"/>
                <w:iCs/>
                <w:sz w:val="22"/>
                <w:szCs w:val="22"/>
              </w:rPr>
              <w:t>HMS</w:t>
            </w:r>
            <w:r w:rsidRPr="00FC68C3">
              <w:rPr>
                <w:rFonts w:ascii="Times New Roman" w:hAnsi="Times New Roman"/>
                <w:iCs/>
                <w:sz w:val="22"/>
                <w:szCs w:val="22"/>
                <w:lang w:val="ru-RU"/>
              </w:rPr>
              <w:t xml:space="preserve"> </w:t>
            </w:r>
            <w:r w:rsidRPr="00FC68C3">
              <w:rPr>
                <w:rFonts w:ascii="Times New Roman" w:hAnsi="Times New Roman"/>
                <w:iCs/>
                <w:sz w:val="22"/>
                <w:szCs w:val="22"/>
              </w:rPr>
              <w:t>Group</w:t>
            </w:r>
          </w:p>
        </w:tc>
      </w:tr>
      <w:tr w:rsidR="002224CB" w:rsidRPr="00FC68C3" w:rsidTr="002224CB">
        <w:tc>
          <w:tcPr>
            <w:tcW w:w="3492"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5. Срок финансирования</w:t>
            </w:r>
          </w:p>
        </w:tc>
        <w:tc>
          <w:tcPr>
            <w:tcW w:w="5864"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sz w:val="22"/>
                <w:szCs w:val="22"/>
              </w:rPr>
            </w:pPr>
            <w:r w:rsidRPr="00FC68C3">
              <w:rPr>
                <w:rFonts w:ascii="Times New Roman" w:hAnsi="Times New Roman"/>
                <w:iCs/>
                <w:sz w:val="22"/>
                <w:szCs w:val="22"/>
              </w:rPr>
              <w:t>Не более 60 месяцев</w:t>
            </w:r>
          </w:p>
        </w:tc>
      </w:tr>
      <w:tr w:rsidR="002224CB" w:rsidRPr="00FC68C3" w:rsidTr="002224CB">
        <w:trPr>
          <w:trHeight w:val="28"/>
        </w:trPr>
        <w:tc>
          <w:tcPr>
            <w:tcW w:w="3492" w:type="dxa"/>
            <w:gridSpan w:val="3"/>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6. Погашение основного долга</w:t>
            </w:r>
          </w:p>
        </w:tc>
        <w:tc>
          <w:tcPr>
            <w:tcW w:w="5864" w:type="dxa"/>
            <w:gridSpan w:val="3"/>
            <w:tcMar>
              <w:top w:w="57" w:type="dxa"/>
              <w:left w:w="85" w:type="dxa"/>
              <w:bottom w:w="57" w:type="dxa"/>
              <w:right w:w="85" w:type="dxa"/>
            </w:tcMar>
            <w:vAlign w:val="center"/>
          </w:tcPr>
          <w:p w:rsidR="002224CB" w:rsidRPr="00FC68C3" w:rsidRDefault="002224CB" w:rsidP="00C747F6">
            <w:pPr>
              <w:rPr>
                <w:i/>
                <w:iCs/>
                <w:sz w:val="22"/>
                <w:szCs w:val="22"/>
              </w:rPr>
            </w:pPr>
            <w:r w:rsidRPr="00FC68C3">
              <w:rPr>
                <w:sz w:val="22"/>
                <w:szCs w:val="22"/>
              </w:rPr>
              <w:t>Единовременно, в конце срока Договора</w:t>
            </w:r>
          </w:p>
        </w:tc>
      </w:tr>
      <w:tr w:rsidR="002224CB" w:rsidRPr="00FC68C3" w:rsidTr="002224CB">
        <w:tc>
          <w:tcPr>
            <w:tcW w:w="9356" w:type="dxa"/>
            <w:gridSpan w:val="6"/>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7. Процентная ставка</w:t>
            </w:r>
          </w:p>
        </w:tc>
      </w:tr>
      <w:tr w:rsidR="002224CB" w:rsidRPr="00FC68C3" w:rsidTr="002224CB">
        <w:trPr>
          <w:trHeight w:val="939"/>
        </w:trPr>
        <w:tc>
          <w:tcPr>
            <w:tcW w:w="6753" w:type="dxa"/>
            <w:gridSpan w:val="5"/>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lang w:val="ru-RU"/>
              </w:rPr>
            </w:pPr>
            <w:r w:rsidRPr="00FC68C3">
              <w:rPr>
                <w:rFonts w:ascii="Times New Roman" w:hAnsi="Times New Roman"/>
                <w:b/>
                <w:bCs/>
                <w:sz w:val="22"/>
                <w:szCs w:val="22"/>
                <w:lang w:val="ru-RU"/>
              </w:rPr>
              <w:t>Фиксированная</w:t>
            </w:r>
          </w:p>
          <w:p w:rsidR="002224CB" w:rsidRPr="00FC68C3" w:rsidRDefault="002224CB" w:rsidP="00C747F6">
            <w:pPr>
              <w:pStyle w:val="a7"/>
              <w:spacing w:before="0" w:after="0"/>
              <w:ind w:right="133"/>
              <w:jc w:val="left"/>
              <w:rPr>
                <w:rFonts w:ascii="Times New Roman" w:hAnsi="Times New Roman"/>
                <w:b/>
                <w:bCs/>
                <w:sz w:val="22"/>
                <w:szCs w:val="22"/>
                <w:lang w:val="ru-RU"/>
              </w:rPr>
            </w:pPr>
            <w:r w:rsidRPr="00FC68C3">
              <w:rPr>
                <w:rFonts w:ascii="Times New Roman" w:hAnsi="Times New Roman"/>
                <w:sz w:val="22"/>
                <w:szCs w:val="22"/>
                <w:lang w:val="ru-RU"/>
              </w:rPr>
              <w:t>при утверждении кредитных сделок, по которым не планируется устанавливать абсолютные величины процентных ставок</w:t>
            </w:r>
          </w:p>
        </w:tc>
        <w:tc>
          <w:tcPr>
            <w:tcW w:w="2603" w:type="dxa"/>
            <w:tcMar>
              <w:top w:w="57" w:type="dxa"/>
              <w:left w:w="85" w:type="dxa"/>
              <w:bottom w:w="57" w:type="dxa"/>
              <w:right w:w="85" w:type="dxa"/>
            </w:tcMar>
          </w:tcPr>
          <w:p w:rsidR="002224CB" w:rsidRPr="00FC68C3" w:rsidRDefault="002224CB" w:rsidP="00C747F6">
            <w:pPr>
              <w:tabs>
                <w:tab w:val="num" w:pos="145"/>
              </w:tabs>
              <w:rPr>
                <w:sz w:val="22"/>
                <w:szCs w:val="22"/>
              </w:rPr>
            </w:pPr>
            <w:r w:rsidRPr="00FC68C3">
              <w:rPr>
                <w:sz w:val="22"/>
                <w:szCs w:val="22"/>
              </w:rPr>
              <w:t>размер Максимальной процентной ставки – 30% годовых</w:t>
            </w:r>
          </w:p>
        </w:tc>
      </w:tr>
      <w:tr w:rsidR="002224CB" w:rsidRPr="00FC68C3" w:rsidTr="002224CB">
        <w:tc>
          <w:tcPr>
            <w:tcW w:w="2500" w:type="dxa"/>
            <w:gridSpan w:val="2"/>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sz w:val="22"/>
                <w:szCs w:val="22"/>
              </w:rPr>
            </w:pPr>
            <w:r w:rsidRPr="00FC68C3">
              <w:rPr>
                <w:rFonts w:ascii="Times New Roman" w:hAnsi="Times New Roman"/>
                <w:b/>
                <w:bCs/>
                <w:sz w:val="22"/>
                <w:szCs w:val="22"/>
              </w:rPr>
              <w:t>Порядок уплаты</w:t>
            </w:r>
          </w:p>
        </w:tc>
        <w:tc>
          <w:tcPr>
            <w:tcW w:w="6856" w:type="dxa"/>
            <w:gridSpan w:val="4"/>
            <w:tcMar>
              <w:top w:w="57" w:type="dxa"/>
              <w:left w:w="85" w:type="dxa"/>
              <w:bottom w:w="57" w:type="dxa"/>
              <w:right w:w="85" w:type="dxa"/>
            </w:tcMar>
          </w:tcPr>
          <w:p w:rsidR="002224CB" w:rsidRPr="00FC68C3" w:rsidRDefault="002224CB" w:rsidP="00C747F6">
            <w:pPr>
              <w:pStyle w:val="a7"/>
              <w:spacing w:before="0" w:after="0"/>
              <w:rPr>
                <w:rFonts w:ascii="Times New Roman" w:hAnsi="Times New Roman"/>
                <w:i/>
                <w:iCs/>
                <w:sz w:val="22"/>
                <w:szCs w:val="22"/>
                <w:lang w:val="ru-RU"/>
              </w:rPr>
            </w:pPr>
            <w:r w:rsidRPr="00FC68C3">
              <w:rPr>
                <w:rFonts w:ascii="Times New Roman" w:hAnsi="Times New Roman"/>
                <w:sz w:val="22"/>
                <w:szCs w:val="22"/>
                <w:lang w:val="ru-RU"/>
              </w:rPr>
              <w:t>Ежемесячно «28» числа и в дату полного погашения кредита</w:t>
            </w:r>
          </w:p>
        </w:tc>
      </w:tr>
      <w:tr w:rsidR="002224CB" w:rsidRPr="00FC68C3" w:rsidTr="002224CB">
        <w:tc>
          <w:tcPr>
            <w:tcW w:w="6327" w:type="dxa"/>
            <w:gridSpan w:val="4"/>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8. Неустойки</w:t>
            </w:r>
          </w:p>
        </w:tc>
        <w:tc>
          <w:tcPr>
            <w:tcW w:w="3029" w:type="dxa"/>
            <w:gridSpan w:val="2"/>
            <w:tcMar>
              <w:top w:w="57" w:type="dxa"/>
              <w:left w:w="85" w:type="dxa"/>
              <w:bottom w:w="57" w:type="dxa"/>
              <w:right w:w="85" w:type="dxa"/>
            </w:tcMar>
          </w:tcPr>
          <w:p w:rsidR="002224CB" w:rsidRPr="00FC68C3" w:rsidRDefault="002224CB" w:rsidP="00C747F6">
            <w:pPr>
              <w:pStyle w:val="a"/>
              <w:numPr>
                <w:ilvl w:val="0"/>
                <w:numId w:val="0"/>
              </w:numPr>
              <w:jc w:val="left"/>
              <w:rPr>
                <w:rFonts w:ascii="Times New Roman" w:hAnsi="Times New Roman" w:cs="Times New Roman"/>
                <w:b/>
                <w:bCs/>
                <w:sz w:val="22"/>
                <w:szCs w:val="22"/>
              </w:rPr>
            </w:pPr>
            <w:r w:rsidRPr="00FC68C3">
              <w:rPr>
                <w:rFonts w:ascii="Times New Roman" w:hAnsi="Times New Roman" w:cs="Times New Roman"/>
                <w:b/>
                <w:bCs/>
                <w:sz w:val="22"/>
                <w:szCs w:val="22"/>
              </w:rPr>
              <w:t>Размер</w:t>
            </w:r>
          </w:p>
        </w:tc>
      </w:tr>
      <w:tr w:rsidR="002224CB" w:rsidRPr="00FC68C3" w:rsidTr="002224CB">
        <w:tc>
          <w:tcPr>
            <w:tcW w:w="6327" w:type="dxa"/>
            <w:gridSpan w:val="4"/>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sz w:val="22"/>
                <w:szCs w:val="22"/>
                <w:lang w:val="ru-RU"/>
              </w:rPr>
            </w:pPr>
            <w:r w:rsidRPr="00FC68C3">
              <w:rPr>
                <w:rFonts w:ascii="Times New Roman" w:hAnsi="Times New Roman"/>
                <w:b/>
                <w:sz w:val="22"/>
                <w:szCs w:val="22"/>
                <w:lang w:val="ru-RU"/>
              </w:rPr>
              <w:t>8.1.</w:t>
            </w:r>
            <w:r w:rsidRPr="00FC68C3">
              <w:rPr>
                <w:rFonts w:ascii="Times New Roman" w:hAnsi="Times New Roman"/>
                <w:b/>
                <w:sz w:val="22"/>
                <w:szCs w:val="22"/>
              </w:rPr>
              <w:t> </w:t>
            </w:r>
            <w:r w:rsidRPr="00FC68C3">
              <w:rPr>
                <w:rFonts w:ascii="Times New Roman" w:hAnsi="Times New Roman"/>
                <w:b/>
                <w:sz w:val="22"/>
                <w:szCs w:val="22"/>
                <w:lang w:val="ru-RU"/>
              </w:rPr>
              <w:t>За несвоевременное перечисление платежа в погашение кредита</w:t>
            </w:r>
          </w:p>
          <w:p w:rsidR="002224CB" w:rsidRPr="00FC68C3" w:rsidRDefault="002224CB" w:rsidP="00C747F6">
            <w:pPr>
              <w:pStyle w:val="a7"/>
              <w:spacing w:before="0" w:after="0"/>
              <w:jc w:val="left"/>
              <w:rPr>
                <w:rFonts w:ascii="Times New Roman" w:hAnsi="Times New Roman"/>
                <w:b/>
                <w:bCs/>
                <w:sz w:val="22"/>
                <w:szCs w:val="22"/>
                <w:lang w:val="ru-RU"/>
              </w:rPr>
            </w:pPr>
            <w:r w:rsidRPr="00FC68C3">
              <w:rPr>
                <w:rFonts w:ascii="Times New Roman" w:hAnsi="Times New Roman"/>
                <w:b/>
                <w:sz w:val="22"/>
                <w:szCs w:val="22"/>
                <w:lang w:val="ru-RU"/>
              </w:rPr>
              <w:t>и/или уплату процентов и/или комиссионных платежей</w:t>
            </w:r>
          </w:p>
        </w:tc>
        <w:tc>
          <w:tcPr>
            <w:tcW w:w="3029" w:type="dxa"/>
            <w:gridSpan w:val="2"/>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lang w:val="ru-RU"/>
              </w:rPr>
            </w:pPr>
            <w:r w:rsidRPr="00FC68C3">
              <w:rPr>
                <w:rFonts w:ascii="Times New Roman" w:hAnsi="Times New Roman"/>
                <w:sz w:val="22"/>
                <w:szCs w:val="22"/>
                <w:lang w:val="ru-RU"/>
              </w:rPr>
              <w:t>Ключевая ставка Банка России, увеличенная в 2 раза</w:t>
            </w:r>
          </w:p>
        </w:tc>
      </w:tr>
      <w:tr w:rsidR="002224CB" w:rsidRPr="00FC68C3" w:rsidTr="002224CB">
        <w:tc>
          <w:tcPr>
            <w:tcW w:w="2358" w:type="dxa"/>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sz w:val="22"/>
                <w:szCs w:val="22"/>
              </w:rPr>
            </w:pPr>
            <w:r w:rsidRPr="00FC68C3">
              <w:rPr>
                <w:rFonts w:ascii="Times New Roman" w:hAnsi="Times New Roman"/>
                <w:b/>
                <w:sz w:val="22"/>
                <w:szCs w:val="22"/>
              </w:rPr>
              <w:t>8.2. Иные неустойки</w:t>
            </w:r>
          </w:p>
        </w:tc>
        <w:tc>
          <w:tcPr>
            <w:tcW w:w="6998" w:type="dxa"/>
            <w:gridSpan w:val="5"/>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sz w:val="22"/>
                <w:szCs w:val="22"/>
                <w:lang w:val="ru-RU"/>
              </w:rPr>
            </w:pPr>
            <w:r w:rsidRPr="00FC68C3">
              <w:rPr>
                <w:rFonts w:ascii="Times New Roman" w:hAnsi="Times New Roman"/>
                <w:sz w:val="22"/>
                <w:szCs w:val="22"/>
                <w:lang w:val="ru-RU"/>
              </w:rPr>
              <w:t>Не более 500</w:t>
            </w:r>
            <w:r w:rsidRPr="00FC68C3">
              <w:rPr>
                <w:rFonts w:ascii="Times New Roman" w:hAnsi="Times New Roman"/>
                <w:sz w:val="22"/>
                <w:szCs w:val="22"/>
              </w:rPr>
              <w:t> </w:t>
            </w:r>
            <w:r w:rsidRPr="00FC68C3">
              <w:rPr>
                <w:rFonts w:ascii="Times New Roman" w:hAnsi="Times New Roman"/>
                <w:sz w:val="22"/>
                <w:szCs w:val="22"/>
                <w:lang w:val="ru-RU"/>
              </w:rPr>
              <w:t>000,00 рублей или увеличение процентной ставки не более чем 1% годовых или не более 0,01% от суммы финансирования за каждый день просрочки</w:t>
            </w:r>
          </w:p>
        </w:tc>
      </w:tr>
      <w:tr w:rsidR="002224CB" w:rsidRPr="00FC68C3" w:rsidTr="002224CB">
        <w:trPr>
          <w:trHeight w:val="1682"/>
        </w:trPr>
        <w:tc>
          <w:tcPr>
            <w:tcW w:w="2358" w:type="dxa"/>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9. Прочие условия</w:t>
            </w:r>
          </w:p>
        </w:tc>
        <w:tc>
          <w:tcPr>
            <w:tcW w:w="6998" w:type="dxa"/>
            <w:gridSpan w:val="5"/>
            <w:tcMar>
              <w:top w:w="57" w:type="dxa"/>
              <w:left w:w="85" w:type="dxa"/>
              <w:bottom w:w="57" w:type="dxa"/>
              <w:right w:w="85" w:type="dxa"/>
            </w:tcMar>
          </w:tcPr>
          <w:p w:rsidR="002224CB" w:rsidRPr="00FC68C3" w:rsidRDefault="002224CB" w:rsidP="00C431E8">
            <w:pPr>
              <w:jc w:val="both"/>
              <w:rPr>
                <w:sz w:val="22"/>
                <w:szCs w:val="22"/>
              </w:rPr>
            </w:pPr>
            <w:r w:rsidRPr="00FC68C3">
              <w:rPr>
                <w:sz w:val="22"/>
                <w:szCs w:val="22"/>
              </w:rPr>
              <w:t>Первоначально устанавливаемый срок сделки – 36 месяцев, при этом в случае если согласно последней представленной квартальной/годовой отчетности, предшествующей 1096-му календарному дню с даты заключения Договора, будут выполняться следующие условия одновременно:</w:t>
            </w:r>
          </w:p>
          <w:p w:rsidR="002224CB" w:rsidRPr="00FC68C3" w:rsidRDefault="002224CB" w:rsidP="002224CB">
            <w:pPr>
              <w:numPr>
                <w:ilvl w:val="0"/>
                <w:numId w:val="6"/>
              </w:numPr>
              <w:jc w:val="both"/>
              <w:rPr>
                <w:sz w:val="22"/>
                <w:szCs w:val="22"/>
              </w:rPr>
            </w:pPr>
            <w:r w:rsidRPr="00FC68C3">
              <w:rPr>
                <w:sz w:val="22"/>
                <w:szCs w:val="22"/>
              </w:rPr>
              <w:t>Net Debt / Ebitda по Группе компаний HMS Group менее 3,0;</w:t>
            </w:r>
          </w:p>
          <w:p w:rsidR="002224CB" w:rsidRPr="00FC68C3" w:rsidRDefault="002224CB" w:rsidP="002224CB">
            <w:pPr>
              <w:numPr>
                <w:ilvl w:val="0"/>
                <w:numId w:val="6"/>
              </w:numPr>
              <w:jc w:val="both"/>
              <w:rPr>
                <w:sz w:val="22"/>
                <w:szCs w:val="22"/>
              </w:rPr>
            </w:pPr>
            <w:r w:rsidRPr="00FC68C3">
              <w:rPr>
                <w:sz w:val="22"/>
                <w:szCs w:val="22"/>
              </w:rPr>
              <w:t>FСash/Total Debt по Группе компаний HMS Group более 1,5</w:t>
            </w:r>
          </w:p>
          <w:p w:rsidR="002224CB" w:rsidRPr="00FC68C3" w:rsidRDefault="002224CB" w:rsidP="00C747F6">
            <w:pPr>
              <w:pStyle w:val="ae"/>
              <w:ind w:left="602"/>
              <w:jc w:val="both"/>
              <w:rPr>
                <w:iCs/>
                <w:sz w:val="22"/>
                <w:szCs w:val="22"/>
              </w:rPr>
            </w:pPr>
            <w:r w:rsidRPr="00FC68C3">
              <w:rPr>
                <w:sz w:val="22"/>
                <w:szCs w:val="22"/>
              </w:rPr>
              <w:t>срок действия Договора автоматически продляется до 60 месяцев.</w:t>
            </w:r>
          </w:p>
        </w:tc>
      </w:tr>
      <w:tr w:rsidR="002224CB" w:rsidRPr="00FC68C3" w:rsidTr="002224CB">
        <w:trPr>
          <w:trHeight w:val="358"/>
        </w:trPr>
        <w:tc>
          <w:tcPr>
            <w:tcW w:w="2358" w:type="dxa"/>
            <w:tcMar>
              <w:top w:w="57" w:type="dxa"/>
              <w:left w:w="85" w:type="dxa"/>
              <w:bottom w:w="57" w:type="dxa"/>
              <w:right w:w="85" w:type="dxa"/>
            </w:tcMar>
          </w:tcPr>
          <w:p w:rsidR="002224CB" w:rsidRPr="00FC68C3" w:rsidRDefault="002224CB" w:rsidP="00C747F6">
            <w:pPr>
              <w:pStyle w:val="a7"/>
              <w:spacing w:before="0" w:after="0"/>
              <w:jc w:val="left"/>
              <w:rPr>
                <w:rFonts w:ascii="Times New Roman" w:hAnsi="Times New Roman"/>
                <w:b/>
                <w:bCs/>
                <w:sz w:val="22"/>
                <w:szCs w:val="22"/>
              </w:rPr>
            </w:pPr>
            <w:r w:rsidRPr="00FC68C3">
              <w:rPr>
                <w:rFonts w:ascii="Times New Roman" w:hAnsi="Times New Roman"/>
                <w:b/>
                <w:bCs/>
                <w:sz w:val="22"/>
                <w:szCs w:val="22"/>
              </w:rPr>
              <w:t>10. Срок действия договора поручительства</w:t>
            </w:r>
          </w:p>
        </w:tc>
        <w:tc>
          <w:tcPr>
            <w:tcW w:w="6998" w:type="dxa"/>
            <w:gridSpan w:val="5"/>
            <w:tcMar>
              <w:top w:w="57" w:type="dxa"/>
              <w:left w:w="85" w:type="dxa"/>
              <w:bottom w:w="57" w:type="dxa"/>
              <w:right w:w="85" w:type="dxa"/>
            </w:tcMar>
          </w:tcPr>
          <w:p w:rsidR="002224CB" w:rsidRPr="00FC68C3" w:rsidRDefault="002224CB" w:rsidP="00C431E8">
            <w:pPr>
              <w:jc w:val="both"/>
              <w:rPr>
                <w:sz w:val="22"/>
                <w:szCs w:val="22"/>
              </w:rPr>
            </w:pPr>
            <w:r w:rsidRPr="00FC68C3">
              <w:rPr>
                <w:sz w:val="22"/>
                <w:szCs w:val="22"/>
                <w:lang w:val="x-none" w:eastAsia="x-none"/>
              </w:rPr>
              <w:t xml:space="preserve">Договор поручительства и обязательство поручителя (поручительство) действуют с даты подписания Договора поручительства до полного выполнения Заемщиком всех своих обязательств по </w:t>
            </w:r>
            <w:r w:rsidRPr="00FC68C3">
              <w:rPr>
                <w:sz w:val="22"/>
                <w:szCs w:val="22"/>
                <w:lang w:eastAsia="x-none"/>
              </w:rPr>
              <w:t xml:space="preserve">ВРКЛДС </w:t>
            </w:r>
            <w:r w:rsidRPr="00FC68C3">
              <w:rPr>
                <w:sz w:val="22"/>
                <w:szCs w:val="22"/>
                <w:lang w:val="x-none" w:eastAsia="x-none"/>
              </w:rPr>
              <w:t>плюс 3 года включительно.</w:t>
            </w:r>
          </w:p>
        </w:tc>
      </w:tr>
    </w:tbl>
    <w:p w:rsidR="002224CB" w:rsidRPr="00FC68C3" w:rsidRDefault="002224CB" w:rsidP="002224CB">
      <w:pPr>
        <w:ind w:right="-5"/>
        <w:jc w:val="both"/>
        <w:rPr>
          <w:i/>
          <w:sz w:val="22"/>
          <w:szCs w:val="22"/>
        </w:rPr>
      </w:pPr>
      <w:r w:rsidRPr="00FC68C3">
        <w:rPr>
          <w:i/>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2224CB" w:rsidRPr="00FC68C3" w:rsidRDefault="002224CB" w:rsidP="002224CB">
      <w:pPr>
        <w:autoSpaceDE w:val="0"/>
        <w:autoSpaceDN w:val="0"/>
        <w:adjustRightInd w:val="0"/>
        <w:jc w:val="both"/>
        <w:rPr>
          <w:rFonts w:eastAsia="Calibri"/>
          <w:i/>
          <w:sz w:val="22"/>
          <w:szCs w:val="22"/>
        </w:rPr>
      </w:pPr>
      <w:r w:rsidRPr="00FC68C3">
        <w:rPr>
          <w:rFonts w:eastAsia="Calibri"/>
          <w:i/>
          <w:sz w:val="22"/>
          <w:szCs w:val="22"/>
        </w:rPr>
        <w:t>1</w:t>
      </w:r>
      <w:r w:rsidRPr="00FC68C3">
        <w:rPr>
          <w:i/>
          <w:sz w:val="22"/>
          <w:szCs w:val="22"/>
        </w:rPr>
        <w:t>. косвенно контролирующее лицо Общества - АО «Группа ГМС» (является косвенно контролирующим лицом ОАО «Казанькомпрессормаш» - Стороны по сделке);</w:t>
      </w:r>
    </w:p>
    <w:p w:rsidR="002224CB" w:rsidRPr="00FC68C3" w:rsidRDefault="002224CB" w:rsidP="002224CB">
      <w:pPr>
        <w:autoSpaceDE w:val="0"/>
        <w:autoSpaceDN w:val="0"/>
        <w:adjustRightInd w:val="0"/>
        <w:jc w:val="both"/>
        <w:rPr>
          <w:rFonts w:eastAsia="Calibri"/>
          <w:i/>
          <w:sz w:val="22"/>
          <w:szCs w:val="22"/>
        </w:rPr>
      </w:pPr>
      <w:r w:rsidRPr="00FC68C3">
        <w:rPr>
          <w:i/>
          <w:sz w:val="22"/>
          <w:szCs w:val="22"/>
        </w:rPr>
        <w:lastRenderedPageBreak/>
        <w:t xml:space="preserve">2. косвенно контролирующее лицо Общества - </w:t>
      </w:r>
      <w:r w:rsidRPr="00FC68C3">
        <w:rPr>
          <w:bCs/>
          <w:i/>
          <w:sz w:val="22"/>
          <w:szCs w:val="22"/>
        </w:rPr>
        <w:t>HMS HYDRAULIC MACHINES &amp; SYSTEMS GROUP PLC</w:t>
      </w:r>
      <w:r w:rsidRPr="00FC68C3">
        <w:rPr>
          <w:i/>
          <w:sz w:val="22"/>
          <w:szCs w:val="22"/>
        </w:rPr>
        <w:t xml:space="preserve"> (является косвенно контролирующим лицом ОАО «Казанькомпрессормаш» - Стороны по сделке);</w:t>
      </w:r>
    </w:p>
    <w:p w:rsidR="002224CB" w:rsidRPr="00FC68C3" w:rsidRDefault="002224CB" w:rsidP="002224CB">
      <w:pPr>
        <w:autoSpaceDE w:val="0"/>
        <w:autoSpaceDN w:val="0"/>
        <w:adjustRightInd w:val="0"/>
        <w:jc w:val="both"/>
        <w:rPr>
          <w:i/>
          <w:sz w:val="22"/>
          <w:szCs w:val="22"/>
        </w:rPr>
      </w:pPr>
      <w:r w:rsidRPr="00FC68C3">
        <w:rPr>
          <w:i/>
          <w:iCs/>
          <w:sz w:val="22"/>
          <w:szCs w:val="22"/>
        </w:rPr>
        <w:t xml:space="preserve">3. </w:t>
      </w:r>
      <w:r w:rsidRPr="00FC68C3">
        <w:rPr>
          <w:i/>
          <w:sz w:val="22"/>
          <w:szCs w:val="22"/>
        </w:rPr>
        <w:t>член совета директоров Общества Скрынник Юрий Николаевич (является членом совета директоров ОАО «Казанькомпрессормаш» - Стороны по сделке);</w:t>
      </w:r>
    </w:p>
    <w:p w:rsidR="002224CB" w:rsidRPr="00FC68C3" w:rsidRDefault="002224CB" w:rsidP="002224CB">
      <w:pPr>
        <w:autoSpaceDE w:val="0"/>
        <w:autoSpaceDN w:val="0"/>
        <w:adjustRightInd w:val="0"/>
        <w:jc w:val="both"/>
        <w:rPr>
          <w:i/>
          <w:sz w:val="22"/>
          <w:szCs w:val="22"/>
        </w:rPr>
      </w:pPr>
      <w:r w:rsidRPr="00FC68C3">
        <w:rPr>
          <w:i/>
          <w:sz w:val="22"/>
          <w:szCs w:val="22"/>
        </w:rPr>
        <w:t xml:space="preserve">4. управляющая организация Общества - </w:t>
      </w:r>
      <w:r w:rsidRPr="00FC68C3">
        <w:rPr>
          <w:rFonts w:eastAsia="Calibri"/>
          <w:i/>
          <w:sz w:val="22"/>
          <w:szCs w:val="22"/>
        </w:rPr>
        <w:t xml:space="preserve">ООО «УК «Группа ГМС» (является также </w:t>
      </w:r>
      <w:r w:rsidRPr="00FC68C3">
        <w:rPr>
          <w:i/>
          <w:sz w:val="22"/>
          <w:szCs w:val="22"/>
        </w:rPr>
        <w:t>управляющей организацией ОАО «Казанькомпрессормаш» - Стороны по сделке).</w:t>
      </w:r>
    </w:p>
    <w:p w:rsidR="00B558FD" w:rsidRPr="00900183" w:rsidRDefault="00B558FD" w:rsidP="00B558FD">
      <w:pPr>
        <w:jc w:val="both"/>
        <w:rPr>
          <w:sz w:val="22"/>
          <w:szCs w:val="22"/>
        </w:rPr>
      </w:pPr>
      <w:r w:rsidRPr="00900183">
        <w:rPr>
          <w:sz w:val="22"/>
          <w:szCs w:val="22"/>
          <w:u w:val="single"/>
        </w:rPr>
        <w:t>Цена сделки:</w:t>
      </w:r>
      <w:r w:rsidRPr="00900183">
        <w:rPr>
          <w:sz w:val="22"/>
          <w:szCs w:val="22"/>
        </w:rPr>
        <w:t xml:space="preserve"> (с учетом суммы ранее принятых непогашенных денежных обязательств Поручителя перед Банком) определена в размере</w:t>
      </w:r>
      <w:r w:rsidRPr="00900183">
        <w:rPr>
          <w:b/>
          <w:sz w:val="22"/>
          <w:szCs w:val="22"/>
        </w:rPr>
        <w:t xml:space="preserve"> </w:t>
      </w:r>
      <w:r w:rsidRPr="00900183">
        <w:rPr>
          <w:sz w:val="22"/>
          <w:szCs w:val="22"/>
        </w:rPr>
        <w:t>8 680 000 000 (Восемь миллиардов шестьсот восемьдесят миллионов) рублей, что составляет 220,0051 % от стоимости активов Поручителя по состоянию на 30.06.2017г.</w:t>
      </w:r>
    </w:p>
    <w:p w:rsidR="00B558FD" w:rsidRDefault="00B558FD" w:rsidP="00055939">
      <w:pPr>
        <w:overflowPunct w:val="0"/>
        <w:autoSpaceDE w:val="0"/>
        <w:autoSpaceDN w:val="0"/>
        <w:adjustRightInd w:val="0"/>
        <w:spacing w:before="120"/>
        <w:jc w:val="both"/>
        <w:rPr>
          <w:b/>
        </w:rPr>
      </w:pPr>
    </w:p>
    <w:p w:rsidR="00055939" w:rsidRDefault="005952CC" w:rsidP="00055939">
      <w:pPr>
        <w:overflowPunct w:val="0"/>
        <w:autoSpaceDE w:val="0"/>
        <w:autoSpaceDN w:val="0"/>
        <w:adjustRightInd w:val="0"/>
        <w:spacing w:before="120"/>
        <w:jc w:val="both"/>
        <w:rPr>
          <w:b/>
        </w:rPr>
      </w:pPr>
      <w:r>
        <w:rPr>
          <w:b/>
        </w:rPr>
        <w:t>Д</w:t>
      </w:r>
      <w:r w:rsidR="004714A1">
        <w:rPr>
          <w:b/>
        </w:rPr>
        <w:t>ата составления отчета: «18» июл</w:t>
      </w:r>
      <w:bookmarkStart w:id="0" w:name="_GoBack"/>
      <w:bookmarkEnd w:id="0"/>
      <w:r>
        <w:rPr>
          <w:b/>
        </w:rPr>
        <w:t>я</w:t>
      </w:r>
      <w:r w:rsidR="00055939" w:rsidRPr="002264ED">
        <w:rPr>
          <w:b/>
        </w:rPr>
        <w:t xml:space="preserve"> 2017 года.</w:t>
      </w:r>
    </w:p>
    <w:p w:rsidR="00256F1F" w:rsidRPr="002264ED" w:rsidRDefault="00256F1F" w:rsidP="00055939">
      <w:pPr>
        <w:overflowPunct w:val="0"/>
        <w:autoSpaceDE w:val="0"/>
        <w:autoSpaceDN w:val="0"/>
        <w:adjustRightInd w:val="0"/>
        <w:spacing w:before="120"/>
        <w:jc w:val="both"/>
        <w:rPr>
          <w:b/>
        </w:rPr>
      </w:pPr>
    </w:p>
    <w:p w:rsidR="00055939" w:rsidRPr="002264ED" w:rsidRDefault="00055939" w:rsidP="00055939">
      <w:pPr>
        <w:jc w:val="right"/>
        <w:rPr>
          <w:b/>
        </w:rPr>
      </w:pPr>
    </w:p>
    <w:p w:rsidR="00055939" w:rsidRDefault="00055939" w:rsidP="00055939">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256F1F" w:rsidRPr="002264ED" w:rsidRDefault="00256F1F" w:rsidP="00055939">
      <w:pPr>
        <w:rPr>
          <w:b/>
        </w:rPr>
      </w:pPr>
    </w:p>
    <w:p w:rsidR="00055939" w:rsidRPr="002264ED" w:rsidRDefault="00055939" w:rsidP="00055939">
      <w:pPr>
        <w:rPr>
          <w:b/>
        </w:rPr>
      </w:pPr>
    </w:p>
    <w:p w:rsidR="00055939" w:rsidRPr="002264ED" w:rsidRDefault="00055939" w:rsidP="00055939">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055939" w:rsidRPr="002264ED" w:rsidRDefault="00055939" w:rsidP="00055939">
      <w:pPr>
        <w:jc w:val="both"/>
        <w:rPr>
          <w:b/>
        </w:rPr>
      </w:pPr>
    </w:p>
    <w:p w:rsidR="006D5BC8" w:rsidRDefault="00055939">
      <w:r w:rsidRPr="002264ED">
        <w:rPr>
          <w:b/>
        </w:rPr>
        <w:t xml:space="preserve">      </w:t>
      </w:r>
      <w:r w:rsidR="00772678">
        <w:rPr>
          <w:b/>
        </w:rPr>
        <w:t xml:space="preserve">                                                            </w:t>
      </w:r>
      <w:r w:rsidRPr="002264ED">
        <w:rPr>
          <w:b/>
        </w:rPr>
        <w:t xml:space="preserve">  </w:t>
      </w:r>
      <w:r w:rsidRPr="002264ED">
        <w:t xml:space="preserve">М.П. </w:t>
      </w:r>
    </w:p>
    <w:sectPr w:rsidR="006D5BC8"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63" w:rsidRDefault="00896E63" w:rsidP="00055939">
      <w:r>
        <w:separator/>
      </w:r>
    </w:p>
  </w:endnote>
  <w:endnote w:type="continuationSeparator" w:id="0">
    <w:p w:rsidR="00896E63" w:rsidRDefault="00896E63"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4714A1">
          <w:rPr>
            <w:noProof/>
          </w:rPr>
          <w:t>10</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63" w:rsidRDefault="00896E63" w:rsidP="00055939">
      <w:r>
        <w:separator/>
      </w:r>
    </w:p>
  </w:footnote>
  <w:footnote w:type="continuationSeparator" w:id="0">
    <w:p w:rsidR="00896E63" w:rsidRDefault="00896E63"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59C1"/>
    <w:multiLevelType w:val="hybridMultilevel"/>
    <w:tmpl w:val="73B42A08"/>
    <w:lvl w:ilvl="0" w:tplc="604CCC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932222"/>
    <w:multiLevelType w:val="hybridMultilevel"/>
    <w:tmpl w:val="493E2CF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
    <w:nsid w:val="32D66B39"/>
    <w:multiLevelType w:val="multilevel"/>
    <w:tmpl w:val="9A7AAC68"/>
    <w:lvl w:ilvl="0">
      <w:start w:val="1"/>
      <w:numFmt w:val="decimal"/>
      <w:lvlText w:val="%1."/>
      <w:lvlJc w:val="left"/>
      <w:pPr>
        <w:tabs>
          <w:tab w:val="num" w:pos="786"/>
        </w:tabs>
        <w:ind w:left="786"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79F0506"/>
    <w:multiLevelType w:val="hybridMultilevel"/>
    <w:tmpl w:val="64F22C00"/>
    <w:lvl w:ilvl="0" w:tplc="7BA27B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4FD8"/>
    <w:rsid w:val="00055939"/>
    <w:rsid w:val="000613CF"/>
    <w:rsid w:val="00073BFE"/>
    <w:rsid w:val="000A01D8"/>
    <w:rsid w:val="000A7F39"/>
    <w:rsid w:val="000C46F0"/>
    <w:rsid w:val="000E2468"/>
    <w:rsid w:val="000E3545"/>
    <w:rsid w:val="000E69A5"/>
    <w:rsid w:val="00123D3F"/>
    <w:rsid w:val="00171E01"/>
    <w:rsid w:val="001812D3"/>
    <w:rsid w:val="001866DF"/>
    <w:rsid w:val="001A0D81"/>
    <w:rsid w:val="001C2D33"/>
    <w:rsid w:val="001C2EAA"/>
    <w:rsid w:val="001C4662"/>
    <w:rsid w:val="001E45E3"/>
    <w:rsid w:val="001E6C2E"/>
    <w:rsid w:val="00212BEB"/>
    <w:rsid w:val="002224CB"/>
    <w:rsid w:val="002264ED"/>
    <w:rsid w:val="0023504A"/>
    <w:rsid w:val="0025479E"/>
    <w:rsid w:val="00255967"/>
    <w:rsid w:val="00256F1F"/>
    <w:rsid w:val="002758BC"/>
    <w:rsid w:val="002961A7"/>
    <w:rsid w:val="002969D0"/>
    <w:rsid w:val="002B5418"/>
    <w:rsid w:val="002E41ED"/>
    <w:rsid w:val="002E77C8"/>
    <w:rsid w:val="002F5AFC"/>
    <w:rsid w:val="00310CE2"/>
    <w:rsid w:val="00323558"/>
    <w:rsid w:val="00327A5B"/>
    <w:rsid w:val="0035326F"/>
    <w:rsid w:val="00355E15"/>
    <w:rsid w:val="0038051F"/>
    <w:rsid w:val="00387BBB"/>
    <w:rsid w:val="00396547"/>
    <w:rsid w:val="003D7EB0"/>
    <w:rsid w:val="003E2DA6"/>
    <w:rsid w:val="003E6F82"/>
    <w:rsid w:val="003F6962"/>
    <w:rsid w:val="004017EE"/>
    <w:rsid w:val="00410AB8"/>
    <w:rsid w:val="00411AEC"/>
    <w:rsid w:val="00442F6A"/>
    <w:rsid w:val="00462BC2"/>
    <w:rsid w:val="0046512C"/>
    <w:rsid w:val="004714A1"/>
    <w:rsid w:val="00473D93"/>
    <w:rsid w:val="00475677"/>
    <w:rsid w:val="004D1415"/>
    <w:rsid w:val="004F4D74"/>
    <w:rsid w:val="004F6AEA"/>
    <w:rsid w:val="00505308"/>
    <w:rsid w:val="005126FF"/>
    <w:rsid w:val="005206B0"/>
    <w:rsid w:val="005228E7"/>
    <w:rsid w:val="00562602"/>
    <w:rsid w:val="00580A4E"/>
    <w:rsid w:val="00582FEE"/>
    <w:rsid w:val="00591CE4"/>
    <w:rsid w:val="005952CC"/>
    <w:rsid w:val="005A574C"/>
    <w:rsid w:val="005D3318"/>
    <w:rsid w:val="005F6993"/>
    <w:rsid w:val="005F6FB0"/>
    <w:rsid w:val="00600667"/>
    <w:rsid w:val="006476DA"/>
    <w:rsid w:val="006926BB"/>
    <w:rsid w:val="00693176"/>
    <w:rsid w:val="006D5BC8"/>
    <w:rsid w:val="006E0FF1"/>
    <w:rsid w:val="006E1395"/>
    <w:rsid w:val="006E7FA5"/>
    <w:rsid w:val="006F2E90"/>
    <w:rsid w:val="006F5A46"/>
    <w:rsid w:val="00731D04"/>
    <w:rsid w:val="007331F3"/>
    <w:rsid w:val="00733922"/>
    <w:rsid w:val="00742591"/>
    <w:rsid w:val="00750838"/>
    <w:rsid w:val="00772678"/>
    <w:rsid w:val="007B5F20"/>
    <w:rsid w:val="007C4EF0"/>
    <w:rsid w:val="0080467A"/>
    <w:rsid w:val="00821D66"/>
    <w:rsid w:val="0083249D"/>
    <w:rsid w:val="00836A64"/>
    <w:rsid w:val="00864442"/>
    <w:rsid w:val="00866EBB"/>
    <w:rsid w:val="00871516"/>
    <w:rsid w:val="00896E63"/>
    <w:rsid w:val="008A0259"/>
    <w:rsid w:val="008D3F47"/>
    <w:rsid w:val="008F2CB2"/>
    <w:rsid w:val="008F5BFE"/>
    <w:rsid w:val="00900183"/>
    <w:rsid w:val="009129CB"/>
    <w:rsid w:val="00922AC0"/>
    <w:rsid w:val="009347EB"/>
    <w:rsid w:val="00935066"/>
    <w:rsid w:val="009919D2"/>
    <w:rsid w:val="009A48E0"/>
    <w:rsid w:val="009B23DA"/>
    <w:rsid w:val="009C1F86"/>
    <w:rsid w:val="009E4A19"/>
    <w:rsid w:val="009F08C3"/>
    <w:rsid w:val="009F112D"/>
    <w:rsid w:val="00A142E2"/>
    <w:rsid w:val="00A41B09"/>
    <w:rsid w:val="00A555BB"/>
    <w:rsid w:val="00A57EE6"/>
    <w:rsid w:val="00AA4146"/>
    <w:rsid w:val="00AA6FC5"/>
    <w:rsid w:val="00AC4861"/>
    <w:rsid w:val="00AE7C5C"/>
    <w:rsid w:val="00AE7EB1"/>
    <w:rsid w:val="00AF2A85"/>
    <w:rsid w:val="00B0582C"/>
    <w:rsid w:val="00B24DFD"/>
    <w:rsid w:val="00B558FD"/>
    <w:rsid w:val="00B87325"/>
    <w:rsid w:val="00B979E9"/>
    <w:rsid w:val="00BA409E"/>
    <w:rsid w:val="00BA43FF"/>
    <w:rsid w:val="00BC10C3"/>
    <w:rsid w:val="00C1056E"/>
    <w:rsid w:val="00C259A4"/>
    <w:rsid w:val="00C431E8"/>
    <w:rsid w:val="00C5164C"/>
    <w:rsid w:val="00C95E92"/>
    <w:rsid w:val="00CC422A"/>
    <w:rsid w:val="00CD7B21"/>
    <w:rsid w:val="00CF6D4B"/>
    <w:rsid w:val="00D00B95"/>
    <w:rsid w:val="00D43D61"/>
    <w:rsid w:val="00D51679"/>
    <w:rsid w:val="00D52460"/>
    <w:rsid w:val="00D64405"/>
    <w:rsid w:val="00D758CB"/>
    <w:rsid w:val="00D75DEF"/>
    <w:rsid w:val="00D8064E"/>
    <w:rsid w:val="00D82897"/>
    <w:rsid w:val="00D94460"/>
    <w:rsid w:val="00DE3C3E"/>
    <w:rsid w:val="00DE403E"/>
    <w:rsid w:val="00DE5DEA"/>
    <w:rsid w:val="00DF3EF5"/>
    <w:rsid w:val="00DF7EA2"/>
    <w:rsid w:val="00E334D5"/>
    <w:rsid w:val="00E335A8"/>
    <w:rsid w:val="00E40748"/>
    <w:rsid w:val="00E758E9"/>
    <w:rsid w:val="00EA1B2E"/>
    <w:rsid w:val="00EC0A7B"/>
    <w:rsid w:val="00EC16FC"/>
    <w:rsid w:val="00EC653A"/>
    <w:rsid w:val="00ED360B"/>
    <w:rsid w:val="00EE768C"/>
    <w:rsid w:val="00EF0F20"/>
    <w:rsid w:val="00F4549A"/>
    <w:rsid w:val="00F51377"/>
    <w:rsid w:val="00F8195D"/>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26F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55939"/>
    <w:pPr>
      <w:tabs>
        <w:tab w:val="center" w:pos="4677"/>
        <w:tab w:val="right" w:pos="9355"/>
      </w:tabs>
    </w:pPr>
  </w:style>
  <w:style w:type="character" w:customStyle="1" w:styleId="ab">
    <w:name w:val="Нижний колонтитул Знак"/>
    <w:basedOn w:val="a1"/>
    <w:link w:val="aa"/>
    <w:uiPriority w:val="99"/>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customStyle="1" w:styleId="1">
    <w:name w:val="Абзац списка1"/>
    <w:basedOn w:val="a0"/>
    <w:rsid w:val="005206B0"/>
    <w:pPr>
      <w:ind w:left="720"/>
      <w:contextualSpacing/>
    </w:pPr>
    <w:rPr>
      <w:sz w:val="20"/>
      <w:szCs w:val="20"/>
    </w:rPr>
  </w:style>
  <w:style w:type="paragraph" w:styleId="2">
    <w:name w:val="Body Text Indent 2"/>
    <w:basedOn w:val="a0"/>
    <w:link w:val="20"/>
    <w:uiPriority w:val="99"/>
    <w:semiHidden/>
    <w:unhideWhenUsed/>
    <w:rsid w:val="00AA6FC5"/>
    <w:pPr>
      <w:spacing w:after="120" w:line="480" w:lineRule="auto"/>
      <w:ind w:left="283"/>
    </w:pPr>
  </w:style>
  <w:style w:type="character" w:customStyle="1" w:styleId="20">
    <w:name w:val="Основной текст с отступом 2 Знак"/>
    <w:basedOn w:val="a1"/>
    <w:link w:val="2"/>
    <w:uiPriority w:val="99"/>
    <w:semiHidden/>
    <w:rsid w:val="00AA6FC5"/>
    <w:rPr>
      <w:rFonts w:ascii="Times New Roman" w:eastAsia="Times New Roman" w:hAnsi="Times New Roman" w:cs="Times New Roman"/>
      <w:sz w:val="24"/>
      <w:szCs w:val="24"/>
      <w:lang w:eastAsia="ru-RU"/>
    </w:rPr>
  </w:style>
  <w:style w:type="paragraph" w:customStyle="1" w:styleId="21">
    <w:name w:val="Абзац списка2"/>
    <w:basedOn w:val="a0"/>
    <w:rsid w:val="00462BC2"/>
    <w:pPr>
      <w:ind w:left="720"/>
      <w:contextualSpacing/>
    </w:pPr>
    <w:rPr>
      <w:sz w:val="20"/>
      <w:szCs w:val="20"/>
    </w:rPr>
  </w:style>
  <w:style w:type="paragraph" w:styleId="ae">
    <w:name w:val="List Paragraph"/>
    <w:basedOn w:val="a0"/>
    <w:uiPriority w:val="34"/>
    <w:qFormat/>
    <w:rsid w:val="00462BC2"/>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4505</Words>
  <Characters>25680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75</cp:revision>
  <dcterms:created xsi:type="dcterms:W3CDTF">2017-11-23T08:28:00Z</dcterms:created>
  <dcterms:modified xsi:type="dcterms:W3CDTF">2018-01-23T11:49:00Z</dcterms:modified>
</cp:coreProperties>
</file>